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8E" w:rsidRDefault="009A1F8E" w:rsidP="00142D75">
      <w:pPr>
        <w:pStyle w:val="Normlnweb"/>
        <w:shd w:val="clear" w:color="auto" w:fill="FFFFFF"/>
        <w:spacing w:before="0" w:beforeAutospacing="0" w:after="0"/>
        <w:ind w:firstLine="709"/>
        <w:jc w:val="both"/>
        <w:rPr>
          <w:b/>
          <w:color w:val="010101"/>
        </w:rPr>
      </w:pPr>
      <w:r w:rsidRPr="00142D75">
        <w:rPr>
          <w:b/>
          <w:color w:val="010101"/>
        </w:rPr>
        <w:t>Doporučený postup pro praktické lékaře</w:t>
      </w:r>
    </w:p>
    <w:p w:rsidR="00142D75" w:rsidRPr="00142D75" w:rsidRDefault="00142D75" w:rsidP="00142D75">
      <w:pPr>
        <w:pStyle w:val="Normlnweb"/>
        <w:shd w:val="clear" w:color="auto" w:fill="FFFFFF"/>
        <w:spacing w:before="0" w:beforeAutospacing="0" w:after="0"/>
        <w:ind w:firstLine="709"/>
        <w:jc w:val="both"/>
        <w:rPr>
          <w:b/>
          <w:color w:val="010101"/>
        </w:rPr>
      </w:pPr>
    </w:p>
    <w:p w:rsidR="009A1F8E" w:rsidRDefault="009A1F8E" w:rsidP="00142D75">
      <w:pPr>
        <w:pStyle w:val="Normlnweb"/>
        <w:shd w:val="clear" w:color="auto" w:fill="FFFFFF"/>
        <w:spacing w:before="0" w:beforeAutospacing="0" w:after="0"/>
        <w:ind w:firstLine="709"/>
        <w:jc w:val="both"/>
        <w:rPr>
          <w:b/>
          <w:i/>
          <w:color w:val="010101"/>
        </w:rPr>
      </w:pPr>
      <w:r w:rsidRPr="00142D75">
        <w:rPr>
          <w:b/>
          <w:i/>
          <w:color w:val="010101"/>
        </w:rPr>
        <w:t>Česká lékařská společnost Jana Evangelisty Purkyně</w:t>
      </w:r>
    </w:p>
    <w:p w:rsidR="00142D75" w:rsidRPr="00142D75" w:rsidRDefault="00142D75" w:rsidP="00142D75">
      <w:pPr>
        <w:pStyle w:val="Normlnweb"/>
        <w:shd w:val="clear" w:color="auto" w:fill="FFFFFF"/>
        <w:spacing w:before="0" w:beforeAutospacing="0" w:after="0"/>
        <w:ind w:firstLine="709"/>
        <w:jc w:val="both"/>
        <w:rPr>
          <w:b/>
          <w:i/>
          <w:color w:val="010101"/>
        </w:rPr>
      </w:pPr>
    </w:p>
    <w:p w:rsidR="00142D75" w:rsidRPr="00142D75" w:rsidRDefault="009A1F8E" w:rsidP="00142D75">
      <w:pPr>
        <w:pStyle w:val="Normlnweb"/>
        <w:shd w:val="clear" w:color="auto" w:fill="FFFFFF"/>
        <w:spacing w:before="0" w:beforeAutospacing="0" w:after="0"/>
        <w:ind w:left="708" w:firstLine="1"/>
        <w:jc w:val="both"/>
        <w:rPr>
          <w:color w:val="010101"/>
          <w:sz w:val="20"/>
          <w:szCs w:val="20"/>
        </w:rPr>
      </w:pPr>
      <w:r w:rsidRPr="00142D75">
        <w:rPr>
          <w:color w:val="010101"/>
          <w:sz w:val="20"/>
          <w:szCs w:val="20"/>
        </w:rPr>
        <w:t xml:space="preserve">Projekt MZ ČR zpracovaný ČLS JEP za podpory grantu IGA MZ ČR 5390-3 </w:t>
      </w:r>
      <w:proofErr w:type="spellStart"/>
      <w:r w:rsidRPr="00142D75">
        <w:rPr>
          <w:color w:val="010101"/>
          <w:sz w:val="20"/>
          <w:szCs w:val="20"/>
        </w:rPr>
        <w:t>Reg</w:t>
      </w:r>
      <w:proofErr w:type="spellEnd"/>
      <w:r w:rsidRPr="00142D75">
        <w:rPr>
          <w:color w:val="010101"/>
          <w:sz w:val="20"/>
          <w:szCs w:val="20"/>
        </w:rPr>
        <w:t xml:space="preserve">. </w:t>
      </w:r>
      <w:proofErr w:type="gramStart"/>
      <w:r w:rsidRPr="00142D75">
        <w:rPr>
          <w:color w:val="010101"/>
          <w:sz w:val="20"/>
          <w:szCs w:val="20"/>
        </w:rPr>
        <w:t>č.</w:t>
      </w:r>
      <w:proofErr w:type="gramEnd"/>
      <w:r w:rsidRPr="00142D75">
        <w:rPr>
          <w:color w:val="010101"/>
          <w:sz w:val="20"/>
          <w:szCs w:val="20"/>
        </w:rPr>
        <w:t xml:space="preserve"> o/027/131 </w:t>
      </w:r>
      <w:proofErr w:type="spellStart"/>
      <w:r w:rsidR="00142D75">
        <w:rPr>
          <w:color w:val="010101"/>
          <w:sz w:val="20"/>
          <w:szCs w:val="20"/>
        </w:rPr>
        <w:t>Polyneuropatie</w:t>
      </w:r>
      <w:proofErr w:type="spellEnd"/>
      <w:r w:rsidR="00142D75">
        <w:rPr>
          <w:color w:val="010101"/>
          <w:sz w:val="20"/>
          <w:szCs w:val="20"/>
        </w:rPr>
        <w:t>.</w:t>
      </w:r>
    </w:p>
    <w:p w:rsidR="00142D75" w:rsidRDefault="00142D75" w:rsidP="00142D75">
      <w:pPr>
        <w:pStyle w:val="Normlnweb"/>
        <w:shd w:val="clear" w:color="auto" w:fill="FFFFFF"/>
        <w:spacing w:before="0" w:beforeAutospacing="0" w:after="0"/>
        <w:ind w:firstLine="709"/>
        <w:jc w:val="both"/>
        <w:rPr>
          <w:color w:val="010101"/>
        </w:rPr>
      </w:pPr>
    </w:p>
    <w:p w:rsidR="00142D75" w:rsidRDefault="009A1F8E" w:rsidP="00142D75">
      <w:pPr>
        <w:pStyle w:val="Normlnweb"/>
        <w:shd w:val="clear" w:color="auto" w:fill="FFFFFF"/>
        <w:spacing w:before="0" w:beforeAutospacing="0" w:after="0"/>
        <w:ind w:left="708" w:firstLine="1"/>
        <w:jc w:val="both"/>
        <w:rPr>
          <w:color w:val="010101"/>
        </w:rPr>
      </w:pPr>
      <w:r w:rsidRPr="00142D75">
        <w:rPr>
          <w:b/>
          <w:i/>
          <w:color w:val="010101"/>
          <w:u w:val="single"/>
        </w:rPr>
        <w:t>Autor</w:t>
      </w:r>
      <w:r w:rsidRPr="00142D75">
        <w:rPr>
          <w:color w:val="010101"/>
        </w:rPr>
        <w:t xml:space="preserve">: Prof. MUDr. Zdeněk </w:t>
      </w:r>
      <w:proofErr w:type="spellStart"/>
      <w:r w:rsidRPr="00142D75">
        <w:rPr>
          <w:color w:val="010101"/>
        </w:rPr>
        <w:t>Ambler</w:t>
      </w:r>
      <w:proofErr w:type="spellEnd"/>
      <w:r w:rsidRPr="00142D75">
        <w:rPr>
          <w:color w:val="010101"/>
        </w:rPr>
        <w:t xml:space="preserve">, DrSc. Spoluautoři: Doc. MUDr. Josef Bednařík, CSc. Doc. MUDr. Otakar Keller, CSc. Gesce: Neurologická společnost ČLS JEP </w:t>
      </w:r>
    </w:p>
    <w:p w:rsidR="00142D75" w:rsidRDefault="00142D75" w:rsidP="00142D75">
      <w:pPr>
        <w:pStyle w:val="Normlnweb"/>
        <w:shd w:val="clear" w:color="auto" w:fill="FFFFFF"/>
        <w:spacing w:before="0" w:beforeAutospacing="0" w:after="0"/>
        <w:ind w:firstLine="709"/>
        <w:jc w:val="both"/>
        <w:rPr>
          <w:color w:val="010101"/>
        </w:rPr>
      </w:pPr>
    </w:p>
    <w:p w:rsidR="00142D75" w:rsidRDefault="009A1F8E" w:rsidP="00142D75">
      <w:pPr>
        <w:pStyle w:val="Normlnweb"/>
        <w:shd w:val="clear" w:color="auto" w:fill="FFFFFF"/>
        <w:spacing w:before="0" w:beforeAutospacing="0" w:after="0"/>
        <w:ind w:firstLine="709"/>
        <w:jc w:val="both"/>
        <w:rPr>
          <w:color w:val="010101"/>
        </w:rPr>
      </w:pPr>
      <w:r w:rsidRPr="00142D75">
        <w:rPr>
          <w:b/>
          <w:i/>
          <w:color w:val="010101"/>
          <w:u w:val="single"/>
        </w:rPr>
        <w:t>Oponenti</w:t>
      </w:r>
      <w:r w:rsidRPr="00142D75">
        <w:rPr>
          <w:color w:val="010101"/>
        </w:rPr>
        <w:t xml:space="preserve">: MUDr. Karel Linhart MUDr. Blanka Žižková </w:t>
      </w:r>
    </w:p>
    <w:p w:rsidR="00142D75" w:rsidRDefault="00142D75" w:rsidP="00142D75">
      <w:pPr>
        <w:pStyle w:val="Normlnweb"/>
        <w:shd w:val="clear" w:color="auto" w:fill="FFFFFF"/>
        <w:spacing w:before="0" w:beforeAutospacing="0" w:after="0"/>
        <w:ind w:firstLine="709"/>
        <w:jc w:val="both"/>
        <w:rPr>
          <w:color w:val="010101"/>
        </w:rPr>
      </w:pPr>
    </w:p>
    <w:p w:rsidR="009A673E" w:rsidRDefault="009A1F8E" w:rsidP="00142D75">
      <w:pPr>
        <w:pStyle w:val="Normlnweb"/>
        <w:shd w:val="clear" w:color="auto" w:fill="FFFFFF"/>
        <w:spacing w:before="0" w:beforeAutospacing="0" w:after="0"/>
        <w:ind w:firstLine="709"/>
        <w:jc w:val="both"/>
        <w:rPr>
          <w:color w:val="010101"/>
        </w:rPr>
      </w:pPr>
      <w:proofErr w:type="spellStart"/>
      <w:r w:rsidRPr="00142D75">
        <w:rPr>
          <w:color w:val="010101"/>
        </w:rPr>
        <w:t>Polyneuropatie</w:t>
      </w:r>
      <w:proofErr w:type="spellEnd"/>
      <w:r w:rsidRPr="00142D75">
        <w:rPr>
          <w:color w:val="010101"/>
        </w:rPr>
        <w:t xml:space="preserve"> (PN) tvoří heterogenní skupinu poruch periferních</w:t>
      </w:r>
      <w:r w:rsidRPr="00142D75">
        <w:rPr>
          <w:color w:val="010101"/>
        </w:rPr>
        <w:t xml:space="preserve"> nervů. Jde o difúzní nebo více</w:t>
      </w:r>
      <w:r w:rsidRPr="00142D75">
        <w:rPr>
          <w:color w:val="010101"/>
        </w:rPr>
        <w:t>četné systémové, získané nebo dědičné postižení periferních nervů, kt</w:t>
      </w:r>
      <w:r w:rsidRPr="00142D75">
        <w:rPr>
          <w:color w:val="010101"/>
        </w:rPr>
        <w:t>eré vzniká působe</w:t>
      </w:r>
      <w:r w:rsidRPr="00142D75">
        <w:rPr>
          <w:color w:val="010101"/>
        </w:rPr>
        <w:t xml:space="preserve">ním různých endogenních i exogenních vlivů (zánětlivé, </w:t>
      </w:r>
      <w:r w:rsidRPr="00142D75">
        <w:rPr>
          <w:color w:val="010101"/>
        </w:rPr>
        <w:t xml:space="preserve">metabolické, toxické, </w:t>
      </w:r>
      <w:proofErr w:type="spellStart"/>
      <w:r w:rsidRPr="00142D75">
        <w:rPr>
          <w:color w:val="010101"/>
        </w:rPr>
        <w:t>imunopato</w:t>
      </w:r>
      <w:r w:rsidRPr="00142D75">
        <w:rPr>
          <w:color w:val="010101"/>
        </w:rPr>
        <w:t>genní</w:t>
      </w:r>
      <w:proofErr w:type="spellEnd"/>
      <w:r w:rsidRPr="00142D75">
        <w:rPr>
          <w:color w:val="010101"/>
        </w:rPr>
        <w:t>, vitaminové a nutriční deficience, degenerativní i </w:t>
      </w:r>
      <w:proofErr w:type="spellStart"/>
      <w:r w:rsidRPr="00142D75">
        <w:rPr>
          <w:color w:val="010101"/>
        </w:rPr>
        <w:t>paraneoplastické</w:t>
      </w:r>
      <w:proofErr w:type="spellEnd"/>
      <w:r w:rsidRPr="00142D75">
        <w:rPr>
          <w:color w:val="010101"/>
        </w:rPr>
        <w:t>). Postiženy bývají hlavně dlouhé nervy (proto častěji na dolních končetinách) a klinické projevy převažují na distálních částech končetin. Klinický obraz může být symetr</w:t>
      </w:r>
      <w:r w:rsidRPr="00142D75">
        <w:rPr>
          <w:color w:val="010101"/>
        </w:rPr>
        <w:t>ický i asymetrický, mohou převažovat pří</w:t>
      </w:r>
      <w:r w:rsidRPr="00142D75">
        <w:rPr>
          <w:color w:val="010101"/>
        </w:rPr>
        <w:t xml:space="preserve">znaky senzitivní nebo motorické. Porucha se může rozvinout akutně v průběhu dnů až týdnů nebo častěji chronicky během řady měsíců. </w:t>
      </w:r>
    </w:p>
    <w:p w:rsidR="009A673E" w:rsidRDefault="009A1F8E" w:rsidP="009A673E">
      <w:pPr>
        <w:pStyle w:val="Normlnweb"/>
        <w:shd w:val="clear" w:color="auto" w:fill="FFFFFF"/>
        <w:spacing w:before="0" w:beforeAutospacing="0" w:after="0"/>
        <w:ind w:firstLine="709"/>
        <w:jc w:val="both"/>
        <w:rPr>
          <w:color w:val="010101"/>
        </w:rPr>
      </w:pPr>
      <w:r w:rsidRPr="00142D75">
        <w:rPr>
          <w:color w:val="010101"/>
        </w:rPr>
        <w:t xml:space="preserve">U PN dochází ke dvěma typům postižení periferních nervů, které se mohou i vzájemně kombinovat: </w:t>
      </w:r>
    </w:p>
    <w:p w:rsidR="009A673E" w:rsidRDefault="009A1F8E" w:rsidP="009A673E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142D75">
        <w:rPr>
          <w:color w:val="010101"/>
        </w:rPr>
        <w:t>axonální</w:t>
      </w:r>
      <w:proofErr w:type="spellEnd"/>
      <w:r w:rsidRPr="00142D75">
        <w:rPr>
          <w:color w:val="010101"/>
        </w:rPr>
        <w:t xml:space="preserve"> degenerace – vzniká při poškození axonu a axoplazmatického transportu </w:t>
      </w:r>
    </w:p>
    <w:p w:rsidR="009A673E" w:rsidRDefault="009A1F8E" w:rsidP="009A673E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9A673E">
        <w:rPr>
          <w:color w:val="010101"/>
        </w:rPr>
        <w:t xml:space="preserve">demyelinizace – dochází k difúznímu nebo segmentálnímu poškození myelinové pochvy. </w:t>
      </w:r>
    </w:p>
    <w:p w:rsidR="009A673E" w:rsidRPr="009A673E" w:rsidRDefault="009A673E" w:rsidP="009A673E">
      <w:pPr>
        <w:pStyle w:val="Normlnweb"/>
        <w:shd w:val="clear" w:color="auto" w:fill="FFFFFF"/>
        <w:spacing w:before="0" w:beforeAutospacing="0" w:after="0"/>
        <w:ind w:left="1429"/>
        <w:jc w:val="both"/>
        <w:rPr>
          <w:color w:val="010101"/>
        </w:rPr>
      </w:pPr>
    </w:p>
    <w:p w:rsidR="009A673E" w:rsidRDefault="009A1F8E" w:rsidP="009A673E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142D75">
        <w:rPr>
          <w:color w:val="010101"/>
        </w:rPr>
        <w:t xml:space="preserve">Při diagnostice neuropatií vycházíme ze tří základních kritérií: </w:t>
      </w:r>
    </w:p>
    <w:p w:rsidR="009A673E" w:rsidRDefault="009A1F8E" w:rsidP="009A673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142D75">
        <w:rPr>
          <w:color w:val="010101"/>
        </w:rPr>
        <w:t xml:space="preserve">subjektivních příznaků </w:t>
      </w:r>
    </w:p>
    <w:p w:rsidR="009A673E" w:rsidRDefault="009A1F8E" w:rsidP="009A673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9A673E">
        <w:rPr>
          <w:color w:val="010101"/>
        </w:rPr>
        <w:t xml:space="preserve">objektivního nálezu </w:t>
      </w:r>
    </w:p>
    <w:p w:rsidR="009A1F8E" w:rsidRPr="009A673E" w:rsidRDefault="009A1F8E" w:rsidP="009A673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9A673E">
        <w:rPr>
          <w:color w:val="010101"/>
        </w:rPr>
        <w:t>elektrodiagnostiky</w:t>
      </w:r>
      <w:proofErr w:type="spellEnd"/>
      <w:r w:rsidRPr="009A673E">
        <w:rPr>
          <w:color w:val="010101"/>
        </w:rPr>
        <w:t xml:space="preserve"> </w:t>
      </w:r>
    </w:p>
    <w:p w:rsidR="009A673E" w:rsidRPr="00142D75" w:rsidRDefault="009A673E" w:rsidP="00142D75">
      <w:pPr>
        <w:pStyle w:val="Normlnweb"/>
        <w:shd w:val="clear" w:color="auto" w:fill="FFFFFF"/>
        <w:spacing w:before="0" w:beforeAutospacing="0" w:after="0"/>
        <w:ind w:firstLine="709"/>
        <w:jc w:val="both"/>
        <w:rPr>
          <w:color w:val="010101"/>
        </w:rPr>
      </w:pPr>
    </w:p>
    <w:p w:rsidR="00D55CAE" w:rsidRDefault="00D55CAE" w:rsidP="00D55CAE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D55CAE">
        <w:rPr>
          <w:b/>
          <w:i/>
          <w:color w:val="010101"/>
          <w:u w:val="single"/>
        </w:rPr>
        <w:t>Subjektivní příznaky</w:t>
      </w:r>
      <w:r>
        <w:rPr>
          <w:color w:val="010101"/>
        </w:rPr>
        <w:t xml:space="preserve"> -  d</w:t>
      </w:r>
      <w:r w:rsidR="009A1F8E" w:rsidRPr="00142D75">
        <w:rPr>
          <w:color w:val="010101"/>
        </w:rPr>
        <w:t>ůležité jsou tzv. neuropatické se</w:t>
      </w:r>
      <w:r w:rsidR="009A1F8E" w:rsidRPr="00142D75">
        <w:rPr>
          <w:color w:val="010101"/>
        </w:rPr>
        <w:t>nzitivní příznaky, kam patří bo</w:t>
      </w:r>
      <w:r w:rsidR="009A1F8E" w:rsidRPr="00142D75">
        <w:rPr>
          <w:color w:val="010101"/>
        </w:rPr>
        <w:t xml:space="preserve">lesti, pálení, brnění, mravenčení, pocity chladu nebo snížená citlivost. Nemocní mohou mít pocit stažení kolem kotníků nebo pocit chůze jako po mechu. Obecně mohou být příznaky negativní – výpadové (snížené vnímání čití) i pozitivní – iritační (objevuje se něco navíc – bolesti, brnění, pálení, svědění apod.). </w:t>
      </w:r>
    </w:p>
    <w:p w:rsidR="001C3CF7" w:rsidRDefault="009A1F8E" w:rsidP="001C3CF7">
      <w:pPr>
        <w:pStyle w:val="Normlnweb"/>
        <w:shd w:val="clear" w:color="auto" w:fill="FFFFFF"/>
        <w:spacing w:before="0" w:beforeAutospacing="0" w:after="0"/>
        <w:ind w:left="1069"/>
        <w:jc w:val="both"/>
        <w:rPr>
          <w:color w:val="010101"/>
        </w:rPr>
      </w:pPr>
      <w:r w:rsidRPr="00142D75">
        <w:rPr>
          <w:color w:val="010101"/>
        </w:rPr>
        <w:t>Typ senzitivních příz</w:t>
      </w:r>
      <w:r w:rsidRPr="00142D75">
        <w:rPr>
          <w:color w:val="010101"/>
        </w:rPr>
        <w:t>naků závisí na postižení jednot</w:t>
      </w:r>
      <w:r w:rsidRPr="00142D75">
        <w:rPr>
          <w:color w:val="010101"/>
        </w:rPr>
        <w:t>livých druhů vláken. Při převažujícím postižení silných vláken (pro vnímání vib</w:t>
      </w:r>
      <w:r w:rsidRPr="00142D75">
        <w:rPr>
          <w:color w:val="010101"/>
        </w:rPr>
        <w:t>race a </w:t>
      </w:r>
      <w:proofErr w:type="spellStart"/>
      <w:r w:rsidRPr="00142D75">
        <w:rPr>
          <w:color w:val="010101"/>
        </w:rPr>
        <w:t>polohocitu</w:t>
      </w:r>
      <w:proofErr w:type="spellEnd"/>
      <w:r w:rsidRPr="00142D75">
        <w:rPr>
          <w:color w:val="010101"/>
        </w:rPr>
        <w:t>) dochází k ne</w:t>
      </w:r>
      <w:r w:rsidRPr="00142D75">
        <w:rPr>
          <w:color w:val="010101"/>
        </w:rPr>
        <w:t xml:space="preserve">bolestivým parestéziím, zjistí se porucha vibračního čití, </w:t>
      </w:r>
      <w:proofErr w:type="spellStart"/>
      <w:r w:rsidRPr="00142D75">
        <w:rPr>
          <w:color w:val="010101"/>
        </w:rPr>
        <w:t>po</w:t>
      </w:r>
      <w:r w:rsidRPr="00142D75">
        <w:rPr>
          <w:color w:val="010101"/>
        </w:rPr>
        <w:t>hocitu</w:t>
      </w:r>
      <w:proofErr w:type="spellEnd"/>
      <w:r w:rsidRPr="00142D75">
        <w:rPr>
          <w:color w:val="010101"/>
        </w:rPr>
        <w:t xml:space="preserve"> a </w:t>
      </w:r>
      <w:proofErr w:type="spellStart"/>
      <w:r w:rsidRPr="00142D75">
        <w:rPr>
          <w:color w:val="010101"/>
        </w:rPr>
        <w:t>pohybocitu</w:t>
      </w:r>
      <w:proofErr w:type="spellEnd"/>
      <w:r w:rsidRPr="00142D75">
        <w:rPr>
          <w:color w:val="010101"/>
        </w:rPr>
        <w:t>, lehká poru</w:t>
      </w:r>
      <w:r w:rsidRPr="00142D75">
        <w:rPr>
          <w:color w:val="010101"/>
        </w:rPr>
        <w:t xml:space="preserve">cha taktilního čití a jsou snížené nebo vyhaslé </w:t>
      </w:r>
      <w:proofErr w:type="spellStart"/>
      <w:r w:rsidRPr="00142D75">
        <w:rPr>
          <w:color w:val="010101"/>
        </w:rPr>
        <w:t>šlachookostico</w:t>
      </w:r>
      <w:r w:rsidRPr="00142D75">
        <w:rPr>
          <w:color w:val="010101"/>
        </w:rPr>
        <w:t>vé</w:t>
      </w:r>
      <w:proofErr w:type="spellEnd"/>
      <w:r w:rsidRPr="00142D75">
        <w:rPr>
          <w:color w:val="010101"/>
        </w:rPr>
        <w:t xml:space="preserve"> reflexy. Těžší porucha hlubo</w:t>
      </w:r>
      <w:r w:rsidRPr="00142D75">
        <w:rPr>
          <w:color w:val="010101"/>
        </w:rPr>
        <w:t>kého čití se klinicky projeví senzitivní ataxií, která se manife</w:t>
      </w:r>
      <w:r w:rsidRPr="00142D75">
        <w:rPr>
          <w:color w:val="010101"/>
        </w:rPr>
        <w:t>stuje poruchou rovnováhy a atak</w:t>
      </w:r>
      <w:r w:rsidRPr="00142D75">
        <w:rPr>
          <w:color w:val="010101"/>
        </w:rPr>
        <w:t>tickou chůzí hlavně při vyloučení zrakové kontroly (předev</w:t>
      </w:r>
      <w:r w:rsidRPr="00142D75">
        <w:rPr>
          <w:color w:val="010101"/>
        </w:rPr>
        <w:t>ším za šera, ve tmě a při vyšet</w:t>
      </w:r>
      <w:r w:rsidRPr="00142D75">
        <w:rPr>
          <w:color w:val="010101"/>
        </w:rPr>
        <w:t xml:space="preserve">ření chůze se zavřenýma očima). Pro postižení tenkých vláken (pro bolest a teplo) jsou charakteristické bolesti, které mohou být tupé, hluboké, „bolesti kostí!„, ale někdy i palčivé, </w:t>
      </w:r>
      <w:proofErr w:type="spellStart"/>
      <w:r w:rsidRPr="00142D75">
        <w:rPr>
          <w:color w:val="010101"/>
        </w:rPr>
        <w:t>lancinující</w:t>
      </w:r>
      <w:proofErr w:type="spellEnd"/>
      <w:r w:rsidRPr="00142D75">
        <w:rPr>
          <w:color w:val="010101"/>
        </w:rPr>
        <w:t xml:space="preserve"> – neuropatické bolesti. Při vyšetření zjistíme poruchu čití pro bolest, teplo, lehkou poruchu taktilního čití, ale vibrační čití i </w:t>
      </w:r>
      <w:proofErr w:type="spellStart"/>
      <w:r w:rsidRPr="00142D75">
        <w:rPr>
          <w:color w:val="010101"/>
        </w:rPr>
        <w:t>šlachookosticové</w:t>
      </w:r>
      <w:proofErr w:type="spellEnd"/>
      <w:r w:rsidRPr="00142D75">
        <w:rPr>
          <w:color w:val="010101"/>
        </w:rPr>
        <w:t xml:space="preserve"> reflexy jsou normální. Základním motorickým projevem je svalová slabost, zvýšená únava končetin a nejistá chůze. Mezi pozitivní motorické příznaky patří svalové křeče (</w:t>
      </w:r>
      <w:proofErr w:type="spellStart"/>
      <w:r w:rsidRPr="00142D75">
        <w:rPr>
          <w:color w:val="010101"/>
        </w:rPr>
        <w:t>krampy</w:t>
      </w:r>
      <w:proofErr w:type="spellEnd"/>
      <w:r w:rsidRPr="00142D75">
        <w:rPr>
          <w:color w:val="010101"/>
        </w:rPr>
        <w:t xml:space="preserve">) a fascikulace. </w:t>
      </w:r>
    </w:p>
    <w:p w:rsidR="001C3CF7" w:rsidRDefault="009A1F8E" w:rsidP="001C3CF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1C3CF7">
        <w:rPr>
          <w:b/>
          <w:i/>
          <w:color w:val="010101"/>
          <w:u w:val="single"/>
        </w:rPr>
        <w:lastRenderedPageBreak/>
        <w:t>Objektivní nález</w:t>
      </w:r>
      <w:r w:rsidRPr="001C3CF7">
        <w:rPr>
          <w:color w:val="010101"/>
        </w:rPr>
        <w:t xml:space="preserve"> je charakterizován periferní </w:t>
      </w:r>
      <w:proofErr w:type="spellStart"/>
      <w:r w:rsidRPr="001C3CF7">
        <w:rPr>
          <w:color w:val="010101"/>
        </w:rPr>
        <w:t>symptoma</w:t>
      </w:r>
      <w:r w:rsidRPr="001C3CF7">
        <w:rPr>
          <w:color w:val="010101"/>
        </w:rPr>
        <w:t>tikou</w:t>
      </w:r>
      <w:proofErr w:type="spellEnd"/>
      <w:r w:rsidRPr="001C3CF7">
        <w:rPr>
          <w:color w:val="010101"/>
        </w:rPr>
        <w:t xml:space="preserve">: snížené nebo vyhaslé </w:t>
      </w:r>
      <w:proofErr w:type="spellStart"/>
      <w:r w:rsidRPr="001C3CF7">
        <w:rPr>
          <w:color w:val="010101"/>
        </w:rPr>
        <w:t>šla</w:t>
      </w:r>
      <w:r w:rsidRPr="001C3CF7">
        <w:rPr>
          <w:color w:val="010101"/>
        </w:rPr>
        <w:t>chookosticové</w:t>
      </w:r>
      <w:proofErr w:type="spellEnd"/>
      <w:r w:rsidRPr="001C3CF7">
        <w:rPr>
          <w:color w:val="010101"/>
        </w:rPr>
        <w:t xml:space="preserve"> reflexy, především distálně (reflex šlachy Achillovy), porucha citliv</w:t>
      </w:r>
      <w:r w:rsidRPr="001C3CF7">
        <w:rPr>
          <w:color w:val="010101"/>
        </w:rPr>
        <w:t>osti – hyp</w:t>
      </w:r>
      <w:r w:rsidRPr="001C3CF7">
        <w:rPr>
          <w:color w:val="010101"/>
        </w:rPr>
        <w:t>estézie nebo hyperestézie pro různé kvality podle postižení jednotlivých druhů vláken, nebo globální, kdy jde o poruchu pro všechny kvality čití. Mívá</w:t>
      </w:r>
      <w:r w:rsidRPr="001C3CF7">
        <w:rPr>
          <w:color w:val="010101"/>
        </w:rPr>
        <w:t xml:space="preserve"> typický punčochový nebo rukavi</w:t>
      </w:r>
      <w:r w:rsidRPr="001C3CF7">
        <w:rPr>
          <w:color w:val="010101"/>
        </w:rPr>
        <w:t>cový charakter (</w:t>
      </w:r>
      <w:proofErr w:type="spellStart"/>
      <w:r w:rsidRPr="001C3CF7">
        <w:rPr>
          <w:color w:val="010101"/>
        </w:rPr>
        <w:t>polyneuropatický</w:t>
      </w:r>
      <w:proofErr w:type="spellEnd"/>
      <w:r w:rsidRPr="001C3CF7">
        <w:rPr>
          <w:color w:val="010101"/>
        </w:rPr>
        <w:t xml:space="preserve"> typ). Vyšetřujeme citlivost taktilní, algickou, případně i termickou (zkumavkou s teplou a studenou vodou) a vždy ta</w:t>
      </w:r>
      <w:r w:rsidRPr="001C3CF7">
        <w:rPr>
          <w:color w:val="010101"/>
        </w:rPr>
        <w:t xml:space="preserve">ké </w:t>
      </w:r>
      <w:proofErr w:type="spellStart"/>
      <w:r w:rsidRPr="001C3CF7">
        <w:rPr>
          <w:color w:val="010101"/>
        </w:rPr>
        <w:t>propriocepci</w:t>
      </w:r>
      <w:proofErr w:type="spellEnd"/>
      <w:r w:rsidRPr="001C3CF7">
        <w:rPr>
          <w:color w:val="010101"/>
        </w:rPr>
        <w:t xml:space="preserve"> (</w:t>
      </w:r>
      <w:proofErr w:type="spellStart"/>
      <w:r w:rsidRPr="001C3CF7">
        <w:rPr>
          <w:color w:val="010101"/>
        </w:rPr>
        <w:t>polohocit</w:t>
      </w:r>
      <w:proofErr w:type="spellEnd"/>
      <w:r w:rsidRPr="001C3CF7">
        <w:rPr>
          <w:color w:val="010101"/>
        </w:rPr>
        <w:t xml:space="preserve"> a </w:t>
      </w:r>
      <w:proofErr w:type="spellStart"/>
      <w:r w:rsidRPr="001C3CF7">
        <w:rPr>
          <w:color w:val="010101"/>
        </w:rPr>
        <w:t>po</w:t>
      </w:r>
      <w:r w:rsidRPr="001C3CF7">
        <w:rPr>
          <w:color w:val="010101"/>
        </w:rPr>
        <w:t>hybocit</w:t>
      </w:r>
      <w:proofErr w:type="spellEnd"/>
      <w:r w:rsidRPr="001C3CF7">
        <w:rPr>
          <w:color w:val="010101"/>
        </w:rPr>
        <w:t xml:space="preserve"> akrálně na prstech nohou, případně i čití vibrační). Svalovou slabost zjistíme snížením síly podle svalového testu. Distribuce svalové slabosti mívá nejčastěji distální převahu, což se projeví oslabením dorzální nebo plantární flexe nohy (inervační oblast </w:t>
      </w:r>
      <w:proofErr w:type="spellStart"/>
      <w:r w:rsidRPr="001C3CF7">
        <w:rPr>
          <w:color w:val="010101"/>
        </w:rPr>
        <w:t>peroneu</w:t>
      </w:r>
      <w:proofErr w:type="spellEnd"/>
      <w:r w:rsidRPr="001C3CF7">
        <w:rPr>
          <w:color w:val="010101"/>
        </w:rPr>
        <w:t xml:space="preserve"> bývá nejčastěji postižena – vázne chůze po patách, při postižení n. </w:t>
      </w:r>
      <w:proofErr w:type="spellStart"/>
      <w:r w:rsidRPr="001C3CF7">
        <w:rPr>
          <w:color w:val="010101"/>
        </w:rPr>
        <w:t>tibialis</w:t>
      </w:r>
      <w:proofErr w:type="spellEnd"/>
      <w:r w:rsidRPr="001C3CF7">
        <w:rPr>
          <w:color w:val="010101"/>
        </w:rPr>
        <w:t xml:space="preserve"> je oslabena chůze po špičkách). Při proximální převa</w:t>
      </w:r>
      <w:r w:rsidRPr="001C3CF7">
        <w:rPr>
          <w:color w:val="010101"/>
        </w:rPr>
        <w:t>ze je v popředí oslabení stehen</w:t>
      </w:r>
      <w:r w:rsidRPr="001C3CF7">
        <w:rPr>
          <w:color w:val="010101"/>
        </w:rPr>
        <w:t>ního svalstva (vázne např. vstávání ze dřepu nebo chůze po schodech). Mohou být postižena i autonomní vlákna a vznikají pro</w:t>
      </w:r>
      <w:r w:rsidRPr="001C3CF7">
        <w:rPr>
          <w:color w:val="010101"/>
        </w:rPr>
        <w:t xml:space="preserve">jevy </w:t>
      </w:r>
      <w:proofErr w:type="spellStart"/>
      <w:r w:rsidRPr="001C3CF7">
        <w:rPr>
          <w:color w:val="010101"/>
        </w:rPr>
        <w:t>dysautonomie</w:t>
      </w:r>
      <w:proofErr w:type="spellEnd"/>
      <w:r w:rsidRPr="001C3CF7">
        <w:rPr>
          <w:color w:val="010101"/>
        </w:rPr>
        <w:t xml:space="preserve">, poruchy </w:t>
      </w:r>
      <w:proofErr w:type="spellStart"/>
      <w:r w:rsidRPr="001C3CF7">
        <w:rPr>
          <w:color w:val="010101"/>
        </w:rPr>
        <w:t>vázo</w:t>
      </w:r>
      <w:r w:rsidRPr="001C3CF7">
        <w:rPr>
          <w:color w:val="010101"/>
        </w:rPr>
        <w:t>motorické</w:t>
      </w:r>
      <w:proofErr w:type="spellEnd"/>
      <w:r w:rsidRPr="001C3CF7">
        <w:rPr>
          <w:color w:val="010101"/>
        </w:rPr>
        <w:t xml:space="preserve">, </w:t>
      </w:r>
      <w:proofErr w:type="spellStart"/>
      <w:r w:rsidRPr="001C3CF7">
        <w:rPr>
          <w:color w:val="010101"/>
        </w:rPr>
        <w:t>sudomotorické</w:t>
      </w:r>
      <w:proofErr w:type="spellEnd"/>
      <w:r w:rsidRPr="001C3CF7">
        <w:rPr>
          <w:color w:val="010101"/>
        </w:rPr>
        <w:t>, ale i kardiovaskulární (např. postur</w:t>
      </w:r>
      <w:r w:rsidRPr="001C3CF7">
        <w:rPr>
          <w:color w:val="010101"/>
        </w:rPr>
        <w:t>ální hypotenze) nebo gastroin</w:t>
      </w:r>
      <w:r w:rsidRPr="001C3CF7">
        <w:rPr>
          <w:color w:val="010101"/>
        </w:rPr>
        <w:t>testinální poruchy. PN mohou mít charakter léze symetrické, asyme</w:t>
      </w:r>
      <w:r w:rsidRPr="001C3CF7">
        <w:rPr>
          <w:color w:val="010101"/>
        </w:rPr>
        <w:t>trické i imponovat jako vícečet</w:t>
      </w:r>
      <w:r w:rsidRPr="001C3CF7">
        <w:rPr>
          <w:color w:val="010101"/>
        </w:rPr>
        <w:t>né postižení jednotlivých periferních nervů (</w:t>
      </w:r>
      <w:proofErr w:type="spellStart"/>
      <w:r w:rsidRPr="001C3CF7">
        <w:rPr>
          <w:color w:val="010101"/>
        </w:rPr>
        <w:t>mononeuropatia</w:t>
      </w:r>
      <w:proofErr w:type="spellEnd"/>
      <w:r w:rsidRPr="001C3CF7">
        <w:rPr>
          <w:color w:val="010101"/>
        </w:rPr>
        <w:t xml:space="preserve"> multiplex). Základní otázkou je vždy, zda se skutečně jedná o PN. Tak</w:t>
      </w:r>
      <w:r w:rsidRPr="001C3CF7">
        <w:rPr>
          <w:color w:val="010101"/>
        </w:rPr>
        <w:t xml:space="preserve"> např. klasické paresté</w:t>
      </w:r>
      <w:r w:rsidRPr="001C3CF7">
        <w:rPr>
          <w:color w:val="010101"/>
        </w:rPr>
        <w:t xml:space="preserve">zie může způsobit jak </w:t>
      </w:r>
      <w:proofErr w:type="spellStart"/>
      <w:r w:rsidRPr="001C3CF7">
        <w:rPr>
          <w:color w:val="010101"/>
        </w:rPr>
        <w:t>polyneuropatie</w:t>
      </w:r>
      <w:proofErr w:type="spellEnd"/>
      <w:r w:rsidRPr="001C3CF7">
        <w:rPr>
          <w:color w:val="010101"/>
        </w:rPr>
        <w:t xml:space="preserve"> tak i lumbosakrální </w:t>
      </w:r>
      <w:proofErr w:type="spellStart"/>
      <w:r w:rsidRPr="001C3CF7">
        <w:rPr>
          <w:color w:val="010101"/>
        </w:rPr>
        <w:t>ra</w:t>
      </w:r>
      <w:r w:rsidRPr="001C3CF7">
        <w:rPr>
          <w:color w:val="010101"/>
        </w:rPr>
        <w:t>dikulopatie</w:t>
      </w:r>
      <w:proofErr w:type="spellEnd"/>
      <w:r w:rsidRPr="001C3CF7">
        <w:rPr>
          <w:color w:val="010101"/>
        </w:rPr>
        <w:t>, na horních končetinách úžino</w:t>
      </w:r>
      <w:r w:rsidRPr="001C3CF7">
        <w:rPr>
          <w:color w:val="010101"/>
        </w:rPr>
        <w:t>vé kompresivní syndromy, ale může jít i o centráln</w:t>
      </w:r>
      <w:r w:rsidRPr="001C3CF7">
        <w:rPr>
          <w:color w:val="010101"/>
        </w:rPr>
        <w:t>í etiologii, např. u míšních po</w:t>
      </w:r>
      <w:r w:rsidRPr="001C3CF7">
        <w:rPr>
          <w:color w:val="010101"/>
        </w:rPr>
        <w:t>ruch nebo roztroušené sklerózy mozkomíšní. Chybná iniciální odpově</w:t>
      </w:r>
      <w:r w:rsidRPr="001C3CF7">
        <w:rPr>
          <w:color w:val="010101"/>
        </w:rPr>
        <w:t>ď může vést k dalšímu sledu zby</w:t>
      </w:r>
      <w:r w:rsidRPr="001C3CF7">
        <w:rPr>
          <w:color w:val="010101"/>
        </w:rPr>
        <w:t>tečných vyšetření a posunout diagnostiku jiným směrem. Proto u každého podezření na PN doporučíme neurologické vyšetření. Současně je vhodné i pro</w:t>
      </w:r>
      <w:r w:rsidRPr="001C3CF7">
        <w:rPr>
          <w:color w:val="010101"/>
        </w:rPr>
        <w:t>vést základní laboratorní vyšet</w:t>
      </w:r>
      <w:r w:rsidRPr="001C3CF7">
        <w:rPr>
          <w:color w:val="010101"/>
        </w:rPr>
        <w:t xml:space="preserve">ření – 1. sledu (tab. 1). Základní vyšetření může provést praktický lékař i jakýkoli specialista. Při potvrzení PN je vždy indikována </w:t>
      </w:r>
      <w:proofErr w:type="spellStart"/>
      <w:r w:rsidRPr="001C3CF7">
        <w:rPr>
          <w:color w:val="010101"/>
        </w:rPr>
        <w:t>elektrodiagnostika</w:t>
      </w:r>
      <w:proofErr w:type="spellEnd"/>
      <w:r w:rsidRPr="001C3CF7">
        <w:rPr>
          <w:color w:val="010101"/>
        </w:rPr>
        <w:t xml:space="preserve">. </w:t>
      </w:r>
    </w:p>
    <w:p w:rsidR="001C3CF7" w:rsidRDefault="001C3CF7" w:rsidP="001C3CF7">
      <w:pPr>
        <w:pStyle w:val="Normlnweb"/>
        <w:shd w:val="clear" w:color="auto" w:fill="FFFFFF"/>
        <w:spacing w:before="0" w:beforeAutospacing="0" w:after="0"/>
        <w:ind w:left="1069"/>
        <w:jc w:val="both"/>
        <w:rPr>
          <w:color w:val="010101"/>
        </w:rPr>
      </w:pPr>
    </w:p>
    <w:p w:rsidR="001C3CF7" w:rsidRDefault="009A1F8E" w:rsidP="001C3CF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1C3CF7">
        <w:rPr>
          <w:b/>
          <w:i/>
          <w:color w:val="010101"/>
          <w:u w:val="single"/>
        </w:rPr>
        <w:t>Elektrodiagnostika</w:t>
      </w:r>
      <w:proofErr w:type="spellEnd"/>
      <w:r w:rsidRPr="001C3CF7">
        <w:rPr>
          <w:color w:val="010101"/>
        </w:rPr>
        <w:t xml:space="preserve"> je již specializované vyšetření</w:t>
      </w:r>
      <w:r w:rsidRPr="001C3CF7">
        <w:rPr>
          <w:color w:val="010101"/>
        </w:rPr>
        <w:t xml:space="preserve"> elektromyografické (EMG) a kon</w:t>
      </w:r>
      <w:r w:rsidRPr="001C3CF7">
        <w:rPr>
          <w:color w:val="010101"/>
        </w:rPr>
        <w:t>dukční studie periferních nervů, které upřesní charakter a tí</w:t>
      </w:r>
      <w:r w:rsidRPr="001C3CF7">
        <w:rPr>
          <w:color w:val="010101"/>
        </w:rPr>
        <w:t>ži postižení. Významná je přede</w:t>
      </w:r>
      <w:r w:rsidRPr="001C3CF7">
        <w:rPr>
          <w:color w:val="010101"/>
        </w:rPr>
        <w:t xml:space="preserve">vším pro posouzení převahy léze </w:t>
      </w:r>
      <w:proofErr w:type="spellStart"/>
      <w:r w:rsidRPr="001C3CF7">
        <w:rPr>
          <w:color w:val="010101"/>
        </w:rPr>
        <w:t>axonální</w:t>
      </w:r>
      <w:proofErr w:type="spellEnd"/>
      <w:r w:rsidRPr="001C3CF7">
        <w:rPr>
          <w:color w:val="010101"/>
        </w:rPr>
        <w:t xml:space="preserve"> nebo demyelini</w:t>
      </w:r>
      <w:r w:rsidRPr="001C3CF7">
        <w:rPr>
          <w:color w:val="010101"/>
        </w:rPr>
        <w:t>zační. U demyelinizačních neuro</w:t>
      </w:r>
      <w:r w:rsidRPr="001C3CF7">
        <w:rPr>
          <w:color w:val="010101"/>
        </w:rPr>
        <w:t>patií jde především o postižení myelinové pochvy, což se projeví poruchou vedení vzruchu (zpomalením nebo blokem) a abnormitami při kondukční studii. U </w:t>
      </w:r>
      <w:proofErr w:type="spellStart"/>
      <w:r w:rsidRPr="001C3CF7">
        <w:rPr>
          <w:color w:val="010101"/>
        </w:rPr>
        <w:t>axonální</w:t>
      </w:r>
      <w:proofErr w:type="spellEnd"/>
      <w:r w:rsidRPr="001C3CF7">
        <w:rPr>
          <w:color w:val="010101"/>
        </w:rPr>
        <w:t xml:space="preserve"> degenerace je vedení vzruchu v zachovaných axonech neporušeno, ale zjistí se denervační (al</w:t>
      </w:r>
      <w:r w:rsidRPr="001C3CF7">
        <w:rPr>
          <w:color w:val="010101"/>
        </w:rPr>
        <w:t>e i </w:t>
      </w:r>
      <w:proofErr w:type="spellStart"/>
      <w:r w:rsidRPr="001C3CF7">
        <w:rPr>
          <w:color w:val="010101"/>
        </w:rPr>
        <w:t>reinervační</w:t>
      </w:r>
      <w:proofErr w:type="spellEnd"/>
      <w:r w:rsidRPr="001C3CF7">
        <w:rPr>
          <w:color w:val="010101"/>
        </w:rPr>
        <w:t>) projevy. Větši</w:t>
      </w:r>
      <w:r w:rsidRPr="001C3CF7">
        <w:rPr>
          <w:color w:val="010101"/>
        </w:rPr>
        <w:t>nou jsou</w:t>
      </w:r>
      <w:r w:rsidRPr="001C3CF7">
        <w:rPr>
          <w:color w:val="010101"/>
        </w:rPr>
        <w:t xml:space="preserve"> základní typy léze různým pomě</w:t>
      </w:r>
      <w:r w:rsidRPr="001C3CF7">
        <w:rPr>
          <w:color w:val="010101"/>
        </w:rPr>
        <w:t xml:space="preserve">rem kombinovány. </w:t>
      </w:r>
      <w:proofErr w:type="spellStart"/>
      <w:r w:rsidRPr="001C3CF7">
        <w:rPr>
          <w:color w:val="010101"/>
        </w:rPr>
        <w:t>Axonální</w:t>
      </w:r>
      <w:proofErr w:type="spellEnd"/>
      <w:r w:rsidRPr="001C3CF7">
        <w:rPr>
          <w:color w:val="010101"/>
        </w:rPr>
        <w:t xml:space="preserve"> neuropatie jsou častější, způsobují je vlivy toxické, nutriční deficience, některé systémové a metabolické choroby. Dochází k poruše axoplazmatického transportu. Časté jsou senzitivní pozitivní příznaky v typické distální lokalizaci, i motorický deficit mívá převahu distální slabosti. Akutně vznikají u intoxikací a systémovýc</w:t>
      </w:r>
      <w:r w:rsidRPr="001C3CF7">
        <w:rPr>
          <w:color w:val="010101"/>
        </w:rPr>
        <w:t>h chorob, subakutně u metabolic</w:t>
      </w:r>
      <w:r w:rsidRPr="001C3CF7">
        <w:rPr>
          <w:color w:val="010101"/>
        </w:rPr>
        <w:t>kých chorob a některých intoxikací, chronicky u </w:t>
      </w:r>
      <w:proofErr w:type="spellStart"/>
      <w:r w:rsidRPr="001C3CF7">
        <w:rPr>
          <w:color w:val="010101"/>
        </w:rPr>
        <w:t>heredodege</w:t>
      </w:r>
      <w:r w:rsidRPr="001C3CF7">
        <w:rPr>
          <w:color w:val="010101"/>
        </w:rPr>
        <w:t>nerativních</w:t>
      </w:r>
      <w:proofErr w:type="spellEnd"/>
      <w:r w:rsidRPr="001C3CF7">
        <w:rPr>
          <w:color w:val="010101"/>
        </w:rPr>
        <w:t xml:space="preserve"> a některých systémo</w:t>
      </w:r>
      <w:r w:rsidRPr="001C3CF7">
        <w:rPr>
          <w:color w:val="010101"/>
        </w:rPr>
        <w:t xml:space="preserve">vých chorob. Obraz </w:t>
      </w:r>
      <w:proofErr w:type="spellStart"/>
      <w:r w:rsidRPr="001C3CF7">
        <w:rPr>
          <w:color w:val="010101"/>
        </w:rPr>
        <w:t>mononeuropatia</w:t>
      </w:r>
      <w:proofErr w:type="spellEnd"/>
      <w:r w:rsidRPr="001C3CF7">
        <w:rPr>
          <w:color w:val="010101"/>
        </w:rPr>
        <w:t xml:space="preserve"> multiplex se vyskytuje u vaskulitid a diabetu. Demyelinizační neuropatie jsou hlavně autoimunitní a z</w:t>
      </w:r>
      <w:r w:rsidRPr="001C3CF7">
        <w:rPr>
          <w:color w:val="010101"/>
        </w:rPr>
        <w:t>ánětlivé, mohou převažovat moto</w:t>
      </w:r>
      <w:r w:rsidRPr="001C3CF7">
        <w:rPr>
          <w:color w:val="010101"/>
        </w:rPr>
        <w:t>rické projevy a postižení může mít distální i proximální př</w:t>
      </w:r>
      <w:r w:rsidRPr="001C3CF7">
        <w:rPr>
          <w:color w:val="010101"/>
        </w:rPr>
        <w:t>evahu. Rozvíjejí se akutně, sub</w:t>
      </w:r>
      <w:r w:rsidRPr="001C3CF7">
        <w:rPr>
          <w:color w:val="010101"/>
        </w:rPr>
        <w:t xml:space="preserve">akutně i chronicky. Termín PN je diagnóza jen anatomická, ale lokalizace chorobného procesu je v neurologii vždy klíčová. </w:t>
      </w:r>
      <w:proofErr w:type="spellStart"/>
      <w:r w:rsidRPr="001C3CF7">
        <w:rPr>
          <w:color w:val="010101"/>
        </w:rPr>
        <w:t>Elektrodiagnostika</w:t>
      </w:r>
      <w:proofErr w:type="spellEnd"/>
      <w:r w:rsidRPr="001C3CF7">
        <w:rPr>
          <w:color w:val="010101"/>
        </w:rPr>
        <w:t xml:space="preserve"> upřesní charakter patologického procesu, ale hlavním cílem je vždy objasnění etiologie, čemuž mohou pomoci laboratorní vyšetření 2. sledu (</w:t>
      </w:r>
      <w:proofErr w:type="gramStart"/>
      <w:r w:rsidRPr="001C3CF7">
        <w:rPr>
          <w:color w:val="010101"/>
        </w:rPr>
        <w:t>tab.1).</w:t>
      </w:r>
      <w:proofErr w:type="gramEnd"/>
      <w:r w:rsidRPr="001C3CF7">
        <w:rPr>
          <w:color w:val="010101"/>
        </w:rPr>
        <w:t xml:space="preserve"> </w:t>
      </w:r>
    </w:p>
    <w:p w:rsidR="00F60F93" w:rsidRDefault="00F60F93" w:rsidP="00F60F93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F60F93" w:rsidRDefault="00F60F93" w:rsidP="00F60F93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9A1F8E" w:rsidRDefault="009A1F8E" w:rsidP="00F60F93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1C3CF7">
        <w:rPr>
          <w:color w:val="010101"/>
        </w:rPr>
        <w:lastRenderedPageBreak/>
        <w:t>Hl</w:t>
      </w:r>
      <w:r w:rsidR="007E05B4">
        <w:rPr>
          <w:color w:val="010101"/>
        </w:rPr>
        <w:t xml:space="preserve">avní příčiny </w:t>
      </w:r>
      <w:proofErr w:type="spellStart"/>
      <w:r w:rsidR="007E05B4">
        <w:rPr>
          <w:color w:val="010101"/>
        </w:rPr>
        <w:t>polyneuropatií</w:t>
      </w:r>
      <w:proofErr w:type="spellEnd"/>
      <w:r w:rsidR="007E05B4">
        <w:rPr>
          <w:color w:val="010101"/>
        </w:rPr>
        <w:t xml:space="preserve"> I. získané neuropatie:</w:t>
      </w:r>
    </w:p>
    <w:p w:rsidR="00F60F93" w:rsidRPr="001C3CF7" w:rsidRDefault="00F60F93" w:rsidP="00F60F93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F60F93" w:rsidRDefault="009A1F8E" w:rsidP="00F60F9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142D75">
        <w:rPr>
          <w:color w:val="010101"/>
        </w:rPr>
        <w:t xml:space="preserve">Diabetické neuropatie Diabetes </w:t>
      </w:r>
      <w:proofErr w:type="spellStart"/>
      <w:r w:rsidRPr="00142D75">
        <w:rPr>
          <w:color w:val="010101"/>
        </w:rPr>
        <w:t>mellitus</w:t>
      </w:r>
      <w:proofErr w:type="spellEnd"/>
      <w:r w:rsidRPr="00142D75">
        <w:rPr>
          <w:color w:val="010101"/>
        </w:rPr>
        <w:t xml:space="preserve"> je nejčastější příčinou neuropatií. Symptomatická neuropatie bývá přítomna asi u 10 % diabetiků. Nejčastěji jde o symetrické postižení převážně senzitivních vláken a s distální převahou, nejčastěji na dolních končetinách. U </w:t>
      </w:r>
      <w:r w:rsidRPr="00142D75">
        <w:rPr>
          <w:color w:val="010101"/>
        </w:rPr>
        <w:t>20-25 % diabetiků mohou být pro</w:t>
      </w:r>
      <w:r w:rsidRPr="00142D75">
        <w:rPr>
          <w:color w:val="010101"/>
        </w:rPr>
        <w:t>jevy i fokálních asymetrických neuropatií, např. proximální d</w:t>
      </w:r>
      <w:r w:rsidRPr="00142D75">
        <w:rPr>
          <w:color w:val="010101"/>
        </w:rPr>
        <w:t>iabetická amyotrofie nebo krani</w:t>
      </w:r>
      <w:r w:rsidRPr="00142D75">
        <w:rPr>
          <w:color w:val="010101"/>
        </w:rPr>
        <w:t xml:space="preserve">ální neuropatie s postižením okohybného nervu. </w:t>
      </w:r>
    </w:p>
    <w:p w:rsidR="00F60F93" w:rsidRDefault="00F60F93" w:rsidP="00F60F93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F60F93" w:rsidRDefault="009A1F8E" w:rsidP="00F60F9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142D75">
        <w:rPr>
          <w:color w:val="010101"/>
        </w:rPr>
        <w:t xml:space="preserve">Autoimunitní a zánětlivé </w:t>
      </w:r>
      <w:proofErr w:type="spellStart"/>
      <w:r w:rsidRPr="00142D75">
        <w:rPr>
          <w:color w:val="010101"/>
        </w:rPr>
        <w:t>polyneuropatie</w:t>
      </w:r>
      <w:proofErr w:type="spellEnd"/>
      <w:r w:rsidRPr="00142D75">
        <w:rPr>
          <w:color w:val="010101"/>
        </w:rPr>
        <w:t xml:space="preserve"> Syndrom </w:t>
      </w:r>
      <w:proofErr w:type="spellStart"/>
      <w:r w:rsidRPr="00142D75">
        <w:rPr>
          <w:color w:val="010101"/>
        </w:rPr>
        <w:t>Guillain-Barré</w:t>
      </w:r>
      <w:proofErr w:type="spellEnd"/>
      <w:r w:rsidRPr="00142D75">
        <w:rPr>
          <w:color w:val="010101"/>
        </w:rPr>
        <w:t xml:space="preserve"> patří k nejčastějším akutním PN, kte</w:t>
      </w:r>
      <w:r w:rsidRPr="00142D75">
        <w:rPr>
          <w:color w:val="010101"/>
        </w:rPr>
        <w:t>rá se rozvíjí v průběhu dnů, ma</w:t>
      </w:r>
      <w:r w:rsidRPr="00142D75">
        <w:rPr>
          <w:color w:val="010101"/>
        </w:rPr>
        <w:t>ximálně týdnů. Má převahu motorického postižení. Chronick</w:t>
      </w:r>
      <w:r w:rsidRPr="00142D75">
        <w:rPr>
          <w:color w:val="010101"/>
        </w:rPr>
        <w:t xml:space="preserve">á zánětlivá demyelinizační </w:t>
      </w:r>
      <w:proofErr w:type="spellStart"/>
      <w:r w:rsidRPr="00142D75">
        <w:rPr>
          <w:color w:val="010101"/>
        </w:rPr>
        <w:t>poly</w:t>
      </w:r>
      <w:r w:rsidRPr="00142D75">
        <w:rPr>
          <w:color w:val="010101"/>
        </w:rPr>
        <w:t>neuropatie</w:t>
      </w:r>
      <w:proofErr w:type="spellEnd"/>
      <w:r w:rsidRPr="00142D75">
        <w:rPr>
          <w:color w:val="010101"/>
        </w:rPr>
        <w:t xml:space="preserve"> se rozvíjí se mnohem pomaleji, obvykle řadu týd</w:t>
      </w:r>
      <w:r w:rsidRPr="00142D75">
        <w:rPr>
          <w:color w:val="010101"/>
        </w:rPr>
        <w:t>nů až měsíců. Neuropatie se vys</w:t>
      </w:r>
      <w:r w:rsidRPr="00142D75">
        <w:rPr>
          <w:color w:val="010101"/>
        </w:rPr>
        <w:t xml:space="preserve">kytují rovněž u vaskulitid, </w:t>
      </w:r>
      <w:proofErr w:type="spellStart"/>
      <w:r w:rsidRPr="00142D75">
        <w:rPr>
          <w:color w:val="010101"/>
        </w:rPr>
        <w:t>L</w:t>
      </w:r>
      <w:r w:rsidR="00F60F93">
        <w:rPr>
          <w:color w:val="010101"/>
        </w:rPr>
        <w:t>ymeské</w:t>
      </w:r>
      <w:proofErr w:type="spellEnd"/>
      <w:r w:rsidR="00F60F93">
        <w:rPr>
          <w:color w:val="010101"/>
        </w:rPr>
        <w:t xml:space="preserve"> boreliózy a infekce HIV.</w:t>
      </w:r>
    </w:p>
    <w:p w:rsidR="00F60F93" w:rsidRDefault="00F60F93" w:rsidP="00F60F93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F60F93" w:rsidRDefault="009A1F8E" w:rsidP="00F60F9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F60F93">
        <w:rPr>
          <w:color w:val="010101"/>
        </w:rPr>
        <w:t>Neuropatie v důsledku nutriční deficience. V našich podmínkách jde hlavně o deficienci vitaminu B1 (</w:t>
      </w:r>
      <w:proofErr w:type="spellStart"/>
      <w:r w:rsidRPr="00F60F93">
        <w:rPr>
          <w:color w:val="010101"/>
        </w:rPr>
        <w:t>thiamin</w:t>
      </w:r>
      <w:proofErr w:type="spellEnd"/>
      <w:r w:rsidRPr="00F60F93">
        <w:rPr>
          <w:color w:val="010101"/>
        </w:rPr>
        <w:t>), která je hlavní příčinou alkoholové n</w:t>
      </w:r>
      <w:r w:rsidRPr="00F60F93">
        <w:rPr>
          <w:color w:val="010101"/>
        </w:rPr>
        <w:t>europatie. Další příčinou neuro</w:t>
      </w:r>
      <w:r w:rsidRPr="00F60F93">
        <w:rPr>
          <w:color w:val="010101"/>
        </w:rPr>
        <w:t>patie je deficience vitaminu B 12. </w:t>
      </w:r>
    </w:p>
    <w:p w:rsidR="00F60F93" w:rsidRDefault="00F60F93" w:rsidP="00F60F93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F60F93" w:rsidRDefault="009A1F8E" w:rsidP="00F60F9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F60F93">
        <w:rPr>
          <w:color w:val="010101"/>
        </w:rPr>
        <w:t xml:space="preserve">Neuropatie v souvislosti s chronickou renální insuficiencí. Bývá především senzitivní, u těžších forem ale i s motorickým deficitem. </w:t>
      </w:r>
    </w:p>
    <w:p w:rsidR="00F60F93" w:rsidRDefault="00F60F93" w:rsidP="00F60F93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F60F93" w:rsidRDefault="009A1F8E" w:rsidP="00F60F9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F60F93">
        <w:rPr>
          <w:color w:val="010101"/>
        </w:rPr>
        <w:t>Toxické neuropatie. Nejčastější neuropatie se vyskytují p</w:t>
      </w:r>
      <w:r w:rsidRPr="00F60F93">
        <w:rPr>
          <w:color w:val="010101"/>
        </w:rPr>
        <w:t>ři expozici sloučenin, které ob</w:t>
      </w:r>
      <w:r w:rsidRPr="00F60F93">
        <w:rPr>
          <w:color w:val="010101"/>
        </w:rPr>
        <w:t>sahují n-hexan (používá se jako rozpouštědlo tuků, součást lepidel, laků, gumových směsí, je obsažen i v pohonných hmotách) a </w:t>
      </w:r>
      <w:proofErr w:type="spellStart"/>
      <w:r w:rsidRPr="00F60F93">
        <w:rPr>
          <w:color w:val="010101"/>
        </w:rPr>
        <w:t>methyl</w:t>
      </w:r>
      <w:proofErr w:type="spellEnd"/>
      <w:r w:rsidRPr="00F60F93">
        <w:rPr>
          <w:color w:val="010101"/>
        </w:rPr>
        <w:t>-n-</w:t>
      </w:r>
      <w:proofErr w:type="spellStart"/>
      <w:r w:rsidRPr="00F60F93">
        <w:rPr>
          <w:color w:val="010101"/>
        </w:rPr>
        <w:t>butylketonu</w:t>
      </w:r>
      <w:proofErr w:type="spellEnd"/>
      <w:r w:rsidRPr="00F60F93">
        <w:rPr>
          <w:color w:val="010101"/>
        </w:rPr>
        <w:t xml:space="preserve"> (p</w:t>
      </w:r>
      <w:r w:rsidRPr="00F60F93">
        <w:rPr>
          <w:color w:val="010101"/>
        </w:rPr>
        <w:t>oužívá se při výrobě laků). Neu</w:t>
      </w:r>
      <w:r w:rsidRPr="00F60F93">
        <w:rPr>
          <w:color w:val="010101"/>
        </w:rPr>
        <w:t>rotoxické jsou rovněž některé těžké kovy (olovo, rtuť). Přímý toxický vliv na periferní nervy má také alkohol. Častěji se v současné době setkáváme s to</w:t>
      </w:r>
      <w:r w:rsidRPr="00F60F93">
        <w:rPr>
          <w:color w:val="010101"/>
        </w:rPr>
        <w:t>xickými neuropatiemi po neuroto</w:t>
      </w:r>
      <w:r w:rsidRPr="00F60F93">
        <w:rPr>
          <w:color w:val="010101"/>
        </w:rPr>
        <w:t>xických lécích, jako např. po </w:t>
      </w:r>
      <w:proofErr w:type="spellStart"/>
      <w:r w:rsidRPr="00F60F93">
        <w:rPr>
          <w:color w:val="010101"/>
        </w:rPr>
        <w:t>vinkristinu</w:t>
      </w:r>
      <w:proofErr w:type="spellEnd"/>
      <w:r w:rsidRPr="00F60F93">
        <w:rPr>
          <w:color w:val="010101"/>
        </w:rPr>
        <w:t xml:space="preserve">, </w:t>
      </w:r>
      <w:proofErr w:type="spellStart"/>
      <w:r w:rsidRPr="00F60F93">
        <w:rPr>
          <w:color w:val="010101"/>
        </w:rPr>
        <w:t>cisplatině</w:t>
      </w:r>
      <w:proofErr w:type="spellEnd"/>
      <w:r w:rsidRPr="00F60F93">
        <w:rPr>
          <w:color w:val="010101"/>
        </w:rPr>
        <w:t xml:space="preserve">, </w:t>
      </w:r>
      <w:proofErr w:type="spellStart"/>
      <w:r w:rsidRPr="00F60F93">
        <w:rPr>
          <w:color w:val="010101"/>
        </w:rPr>
        <w:t>paclitaxelu</w:t>
      </w:r>
      <w:proofErr w:type="spellEnd"/>
      <w:r w:rsidRPr="00F60F93">
        <w:rPr>
          <w:color w:val="010101"/>
        </w:rPr>
        <w:t xml:space="preserve">, </w:t>
      </w:r>
      <w:proofErr w:type="spellStart"/>
      <w:r w:rsidRPr="00F60F93">
        <w:rPr>
          <w:color w:val="010101"/>
        </w:rPr>
        <w:t>amiodaronu</w:t>
      </w:r>
      <w:proofErr w:type="spellEnd"/>
      <w:r w:rsidRPr="00F60F93">
        <w:rPr>
          <w:color w:val="010101"/>
        </w:rPr>
        <w:t xml:space="preserve"> nebo </w:t>
      </w:r>
      <w:proofErr w:type="spellStart"/>
      <w:r w:rsidRPr="00F60F93">
        <w:rPr>
          <w:color w:val="010101"/>
        </w:rPr>
        <w:t>statinech</w:t>
      </w:r>
      <w:proofErr w:type="spellEnd"/>
      <w:r w:rsidRPr="00F60F93">
        <w:rPr>
          <w:color w:val="010101"/>
        </w:rPr>
        <w:t xml:space="preserve">. </w:t>
      </w:r>
    </w:p>
    <w:p w:rsidR="00F60F93" w:rsidRDefault="00F60F93" w:rsidP="00F60F93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F60F93" w:rsidRDefault="009A1F8E" w:rsidP="00F60F9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F60F93">
        <w:rPr>
          <w:color w:val="010101"/>
        </w:rPr>
        <w:t>Paraneoplastické</w:t>
      </w:r>
      <w:proofErr w:type="spellEnd"/>
      <w:r w:rsidRPr="00F60F93">
        <w:rPr>
          <w:color w:val="010101"/>
        </w:rPr>
        <w:t xml:space="preserve"> neuropatie vznikají nepřímým efektem maligního tumoru a ča</w:t>
      </w:r>
      <w:r w:rsidRPr="00F60F93">
        <w:rPr>
          <w:color w:val="010101"/>
        </w:rPr>
        <w:t>sto mo</w:t>
      </w:r>
      <w:r w:rsidRPr="00F60F93">
        <w:rPr>
          <w:color w:val="010101"/>
        </w:rPr>
        <w:t>hou manifestaci vlastní malignity předcházet. Nejčastěji jde o karcinom plic, prsu, žaludku a střeva. PN se vyskytují také u </w:t>
      </w:r>
      <w:proofErr w:type="spellStart"/>
      <w:r w:rsidRPr="00F60F93">
        <w:rPr>
          <w:color w:val="010101"/>
        </w:rPr>
        <w:t>lymfoproliferativních</w:t>
      </w:r>
      <w:proofErr w:type="spellEnd"/>
      <w:r w:rsidRPr="00F60F93">
        <w:rPr>
          <w:color w:val="010101"/>
        </w:rPr>
        <w:t xml:space="preserve"> poruch a monoklonálních </w:t>
      </w:r>
      <w:proofErr w:type="spellStart"/>
      <w:r w:rsidRPr="00F60F93">
        <w:rPr>
          <w:color w:val="010101"/>
        </w:rPr>
        <w:t>gamapatií</w:t>
      </w:r>
      <w:proofErr w:type="spellEnd"/>
      <w:r w:rsidRPr="00F60F93">
        <w:rPr>
          <w:color w:val="010101"/>
        </w:rPr>
        <w:t xml:space="preserve">. </w:t>
      </w:r>
    </w:p>
    <w:p w:rsidR="00F60F93" w:rsidRPr="00F60F93" w:rsidRDefault="00F60F93" w:rsidP="00F60F93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7E05B4" w:rsidRDefault="009A1F8E" w:rsidP="00F60F9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F60F93">
        <w:rPr>
          <w:color w:val="010101"/>
        </w:rPr>
        <w:t>Idiopatické, kryptogenní PN, kde se nepodaří zjistit příčinu</w:t>
      </w:r>
      <w:r w:rsidRPr="00F60F93">
        <w:rPr>
          <w:color w:val="010101"/>
        </w:rPr>
        <w:t>,</w:t>
      </w:r>
      <w:r w:rsidRPr="00F60F93">
        <w:rPr>
          <w:color w:val="010101"/>
        </w:rPr>
        <w:t xml:space="preserve"> jsou poměrně časté, dosahují 25-30 %. Některé příčiny (např. hereditární nebo alkohol) mohou být dlouho skryty. </w:t>
      </w:r>
    </w:p>
    <w:p w:rsidR="007E05B4" w:rsidRDefault="007E05B4" w:rsidP="007E05B4">
      <w:pPr>
        <w:pStyle w:val="Odstavecseseznamem"/>
        <w:rPr>
          <w:color w:val="010101"/>
        </w:rPr>
      </w:pPr>
      <w:bookmarkStart w:id="0" w:name="_GoBack"/>
      <w:bookmarkEnd w:id="0"/>
    </w:p>
    <w:p w:rsidR="00930572" w:rsidRDefault="009A1F8E" w:rsidP="007946AE">
      <w:pPr>
        <w:pStyle w:val="Normlnweb"/>
        <w:shd w:val="clear" w:color="auto" w:fill="FFFFFF"/>
        <w:spacing w:before="0" w:beforeAutospacing="0" w:after="120"/>
        <w:jc w:val="both"/>
        <w:rPr>
          <w:color w:val="010101"/>
        </w:rPr>
      </w:pPr>
      <w:r w:rsidRPr="007E05B4">
        <w:rPr>
          <w:color w:val="010101"/>
        </w:rPr>
        <w:t xml:space="preserve">II. Hereditární </w:t>
      </w:r>
      <w:proofErr w:type="spellStart"/>
      <w:r w:rsidRPr="007E05B4">
        <w:rPr>
          <w:color w:val="010101"/>
        </w:rPr>
        <w:t>polyneuropatie</w:t>
      </w:r>
      <w:proofErr w:type="spellEnd"/>
      <w:r w:rsidRPr="007E05B4">
        <w:rPr>
          <w:color w:val="010101"/>
        </w:rPr>
        <w:t xml:space="preserve"> </w:t>
      </w:r>
    </w:p>
    <w:p w:rsidR="007E05B4" w:rsidRPr="007E05B4" w:rsidRDefault="009A1F8E" w:rsidP="007946AE">
      <w:pPr>
        <w:pStyle w:val="Normlnweb"/>
        <w:shd w:val="clear" w:color="auto" w:fill="FFFFFF"/>
        <w:spacing w:before="0" w:beforeAutospacing="0" w:after="0"/>
        <w:ind w:firstLine="709"/>
        <w:jc w:val="both"/>
        <w:rPr>
          <w:color w:val="010101"/>
        </w:rPr>
      </w:pPr>
      <w:r w:rsidRPr="007E05B4">
        <w:rPr>
          <w:color w:val="010101"/>
        </w:rPr>
        <w:t>Nejčastěji jde o hereditární senzitivní a motorickou neurop</w:t>
      </w:r>
      <w:r w:rsidRPr="007E05B4">
        <w:rPr>
          <w:color w:val="010101"/>
        </w:rPr>
        <w:t>atii (HMSN), nazývanou také cho</w:t>
      </w:r>
      <w:r w:rsidRPr="007E05B4">
        <w:rPr>
          <w:color w:val="010101"/>
        </w:rPr>
        <w:t xml:space="preserve">roba </w:t>
      </w:r>
      <w:proofErr w:type="spellStart"/>
      <w:r w:rsidRPr="007E05B4">
        <w:rPr>
          <w:color w:val="010101"/>
        </w:rPr>
        <w:t>Charcot</w:t>
      </w:r>
      <w:proofErr w:type="spellEnd"/>
      <w:r w:rsidRPr="007E05B4">
        <w:rPr>
          <w:color w:val="010101"/>
        </w:rPr>
        <w:t>-Marie-</w:t>
      </w:r>
      <w:proofErr w:type="spellStart"/>
      <w:r w:rsidRPr="007E05B4">
        <w:rPr>
          <w:color w:val="010101"/>
        </w:rPr>
        <w:t>Tooth</w:t>
      </w:r>
      <w:proofErr w:type="spellEnd"/>
      <w:r w:rsidRPr="007E05B4">
        <w:rPr>
          <w:color w:val="010101"/>
        </w:rPr>
        <w:t>. Léčba PN by optimálně měla ovlivnit základní příčinu, symptomy i podpořit úpravu. Např. u diabetu má největší význam dokonalá kompenzace. K ovlivněn</w:t>
      </w:r>
      <w:r w:rsidRPr="007E05B4">
        <w:rPr>
          <w:color w:val="010101"/>
        </w:rPr>
        <w:t>í bolestí nebo dysestezií u dia</w:t>
      </w:r>
      <w:r w:rsidRPr="007E05B4">
        <w:rPr>
          <w:color w:val="010101"/>
        </w:rPr>
        <w:t>betických neuropatií se doporučuje kyselina</w:t>
      </w:r>
      <w:r w:rsidRPr="007E05B4">
        <w:rPr>
          <w:color w:val="010101"/>
        </w:rPr>
        <w:t xml:space="preserve"> </w:t>
      </w:r>
      <w:proofErr w:type="spellStart"/>
      <w:r w:rsidRPr="007E05B4">
        <w:rPr>
          <w:color w:val="010101"/>
        </w:rPr>
        <w:t>thioktová</w:t>
      </w:r>
      <w:proofErr w:type="spellEnd"/>
      <w:r w:rsidRPr="007E05B4">
        <w:rPr>
          <w:color w:val="010101"/>
        </w:rPr>
        <w:t xml:space="preserve"> – α-</w:t>
      </w:r>
      <w:proofErr w:type="spellStart"/>
      <w:r w:rsidRPr="007E05B4">
        <w:rPr>
          <w:color w:val="010101"/>
        </w:rPr>
        <w:t>lipoová</w:t>
      </w:r>
      <w:proofErr w:type="spellEnd"/>
      <w:r w:rsidRPr="007E05B4">
        <w:rPr>
          <w:color w:val="010101"/>
        </w:rPr>
        <w:t xml:space="preserve"> (</w:t>
      </w:r>
      <w:proofErr w:type="spellStart"/>
      <w:r w:rsidRPr="007E05B4">
        <w:rPr>
          <w:color w:val="010101"/>
        </w:rPr>
        <w:t>Thioctacid</w:t>
      </w:r>
      <w:proofErr w:type="spellEnd"/>
      <w:r w:rsidRPr="007E05B4">
        <w:rPr>
          <w:color w:val="010101"/>
        </w:rPr>
        <w:t>). U deficient</w:t>
      </w:r>
      <w:r w:rsidRPr="007E05B4">
        <w:rPr>
          <w:color w:val="010101"/>
        </w:rPr>
        <w:t xml:space="preserve">ních neuropatií je indikována </w:t>
      </w:r>
      <w:proofErr w:type="spellStart"/>
      <w:r w:rsidRPr="007E05B4">
        <w:rPr>
          <w:color w:val="010101"/>
        </w:rPr>
        <w:t>suplementace</w:t>
      </w:r>
      <w:proofErr w:type="spellEnd"/>
      <w:r w:rsidRPr="007E05B4">
        <w:rPr>
          <w:color w:val="010101"/>
        </w:rPr>
        <w:t xml:space="preserve"> vitaminy a samozřejmá je absti</w:t>
      </w:r>
      <w:r w:rsidRPr="007E05B4">
        <w:rPr>
          <w:color w:val="010101"/>
        </w:rPr>
        <w:t>nence alkoholu. U autoimunitních neuropatií se užívá různá imunoterapie. Symp</w:t>
      </w:r>
      <w:r w:rsidRPr="007E05B4">
        <w:rPr>
          <w:color w:val="010101"/>
        </w:rPr>
        <w:t>tomatická léčba je důležitá pře</w:t>
      </w:r>
      <w:r w:rsidRPr="007E05B4">
        <w:rPr>
          <w:color w:val="010101"/>
        </w:rPr>
        <w:t xml:space="preserve">devším u pozitivních senzitivních příznaků (dysestezií nebo neuropatických bolestí). </w:t>
      </w:r>
    </w:p>
    <w:p w:rsidR="007E05B4" w:rsidRDefault="007E05B4" w:rsidP="007E05B4">
      <w:pPr>
        <w:pStyle w:val="Odstavecseseznamem"/>
        <w:rPr>
          <w:color w:val="010101"/>
        </w:rPr>
      </w:pPr>
    </w:p>
    <w:p w:rsidR="009A1F8E" w:rsidRPr="00F60F93" w:rsidRDefault="009A1F8E" w:rsidP="007E05B4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F60F93">
        <w:rPr>
          <w:color w:val="010101"/>
        </w:rPr>
        <w:lastRenderedPageBreak/>
        <w:t xml:space="preserve">Základní zásady symptomatické léčby: </w:t>
      </w:r>
    </w:p>
    <w:p w:rsidR="009A1F8E" w:rsidRPr="00142D75" w:rsidRDefault="009A1F8E" w:rsidP="00142D75">
      <w:pPr>
        <w:pStyle w:val="Normlnweb"/>
        <w:shd w:val="clear" w:color="auto" w:fill="FFFFFF"/>
        <w:spacing w:before="0" w:beforeAutospacing="0" w:after="0"/>
        <w:ind w:firstLine="709"/>
        <w:jc w:val="both"/>
        <w:rPr>
          <w:color w:val="010101"/>
        </w:rPr>
      </w:pPr>
      <w:r w:rsidRPr="00142D75">
        <w:rPr>
          <w:color w:val="010101"/>
        </w:rPr>
        <w:t xml:space="preserve">• začít léčit brzy a účinnými medikamenty </w:t>
      </w:r>
    </w:p>
    <w:p w:rsidR="009A1F8E" w:rsidRPr="00142D75" w:rsidRDefault="009A1F8E" w:rsidP="00142D75">
      <w:pPr>
        <w:pStyle w:val="Normlnweb"/>
        <w:shd w:val="clear" w:color="auto" w:fill="FFFFFF"/>
        <w:spacing w:before="0" w:beforeAutospacing="0" w:after="0"/>
        <w:ind w:firstLine="709"/>
        <w:jc w:val="both"/>
        <w:rPr>
          <w:color w:val="010101"/>
        </w:rPr>
      </w:pPr>
      <w:r w:rsidRPr="00142D75">
        <w:rPr>
          <w:color w:val="010101"/>
        </w:rPr>
        <w:t xml:space="preserve">• podávat léky v dostatečné dávce, pak teprve konstatovat jejich neúčinnost a lék změnit </w:t>
      </w:r>
    </w:p>
    <w:p w:rsidR="00930572" w:rsidRDefault="009A1F8E" w:rsidP="00142D75">
      <w:pPr>
        <w:pStyle w:val="Normlnweb"/>
        <w:shd w:val="clear" w:color="auto" w:fill="FFFFFF"/>
        <w:spacing w:before="0" w:beforeAutospacing="0" w:after="0"/>
        <w:ind w:firstLine="709"/>
        <w:jc w:val="both"/>
        <w:rPr>
          <w:color w:val="010101"/>
        </w:rPr>
      </w:pPr>
      <w:r w:rsidRPr="00142D75">
        <w:rPr>
          <w:color w:val="010101"/>
        </w:rPr>
        <w:t xml:space="preserve">• podávat léky pravidelně, soustavně, nikoli jen ad hoc při bolesti </w:t>
      </w:r>
    </w:p>
    <w:p w:rsidR="00930572" w:rsidRDefault="00930572" w:rsidP="00930572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9A1F8E" w:rsidRPr="00142D75" w:rsidRDefault="009A1F8E" w:rsidP="00930572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142D75">
        <w:rPr>
          <w:color w:val="010101"/>
        </w:rPr>
        <w:t xml:space="preserve">K symptomatické léčbě se používají zejména následující léky: </w:t>
      </w:r>
    </w:p>
    <w:p w:rsidR="00930572" w:rsidRDefault="009A1F8E" w:rsidP="00930572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142D75">
        <w:rPr>
          <w:color w:val="010101"/>
        </w:rPr>
        <w:t xml:space="preserve">Nesteroidní antirevmatika – např. ibuprofen, </w:t>
      </w:r>
      <w:proofErr w:type="spellStart"/>
      <w:r w:rsidRPr="00142D75">
        <w:rPr>
          <w:color w:val="010101"/>
        </w:rPr>
        <w:t>indometacin</w:t>
      </w:r>
      <w:proofErr w:type="spellEnd"/>
      <w:r w:rsidRPr="00142D75">
        <w:rPr>
          <w:color w:val="010101"/>
        </w:rPr>
        <w:t xml:space="preserve">, naproxen </w:t>
      </w:r>
    </w:p>
    <w:p w:rsidR="00930572" w:rsidRDefault="009A1F8E" w:rsidP="00930572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142D75">
        <w:rPr>
          <w:color w:val="010101"/>
        </w:rPr>
        <w:t>Tricyklická</w:t>
      </w:r>
      <w:proofErr w:type="spellEnd"/>
      <w:r w:rsidRPr="00142D75">
        <w:rPr>
          <w:color w:val="010101"/>
        </w:rPr>
        <w:t xml:space="preserve"> antidepresiva, především amitriptylin. Začínáme vždy malými dávkami 10- 25 mg na noc a pomalu zvyšujeme podle tolerance </w:t>
      </w:r>
    </w:p>
    <w:p w:rsidR="00930572" w:rsidRDefault="009A1F8E" w:rsidP="00930572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930572">
        <w:rPr>
          <w:color w:val="010101"/>
        </w:rPr>
        <w:t xml:space="preserve">Antikonvulziva, především </w:t>
      </w:r>
      <w:proofErr w:type="spellStart"/>
      <w:r w:rsidRPr="00930572">
        <w:rPr>
          <w:color w:val="010101"/>
        </w:rPr>
        <w:t>karbamazepin</w:t>
      </w:r>
      <w:proofErr w:type="spellEnd"/>
      <w:r w:rsidRPr="00930572">
        <w:rPr>
          <w:color w:val="010101"/>
        </w:rPr>
        <w:t xml:space="preserve">, </w:t>
      </w:r>
      <w:proofErr w:type="spellStart"/>
      <w:r w:rsidRPr="00930572">
        <w:rPr>
          <w:color w:val="010101"/>
        </w:rPr>
        <w:t>fenytoin</w:t>
      </w:r>
      <w:proofErr w:type="spellEnd"/>
      <w:r w:rsidRPr="00930572">
        <w:rPr>
          <w:color w:val="010101"/>
        </w:rPr>
        <w:t xml:space="preserve">, </w:t>
      </w:r>
      <w:proofErr w:type="spellStart"/>
      <w:r w:rsidRPr="00930572">
        <w:rPr>
          <w:color w:val="010101"/>
        </w:rPr>
        <w:t>clonazepam</w:t>
      </w:r>
      <w:proofErr w:type="spellEnd"/>
      <w:r w:rsidRPr="00930572">
        <w:rPr>
          <w:color w:val="010101"/>
        </w:rPr>
        <w:t xml:space="preserve">. Někdy se osvědčuje i kombinace amitriptylinu s deriváty kyseliny </w:t>
      </w:r>
      <w:proofErr w:type="spellStart"/>
      <w:r w:rsidRPr="00930572">
        <w:rPr>
          <w:color w:val="010101"/>
        </w:rPr>
        <w:t>valproové</w:t>
      </w:r>
      <w:proofErr w:type="spellEnd"/>
      <w:r w:rsidRPr="00930572">
        <w:rPr>
          <w:color w:val="010101"/>
        </w:rPr>
        <w:t xml:space="preserve">. </w:t>
      </w:r>
    </w:p>
    <w:p w:rsidR="00930572" w:rsidRDefault="00930572" w:rsidP="00930572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930572" w:rsidRDefault="009A1F8E" w:rsidP="00930572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930572">
        <w:rPr>
          <w:color w:val="010101"/>
        </w:rPr>
        <w:t xml:space="preserve">Mezi podpůrnou léčbu patří hlavně </w:t>
      </w:r>
      <w:proofErr w:type="spellStart"/>
      <w:r w:rsidRPr="00930572">
        <w:rPr>
          <w:color w:val="010101"/>
        </w:rPr>
        <w:t>vazodilatační</w:t>
      </w:r>
      <w:proofErr w:type="spellEnd"/>
      <w:r w:rsidRPr="00930572">
        <w:rPr>
          <w:color w:val="010101"/>
        </w:rPr>
        <w:t xml:space="preserve"> léky a v</w:t>
      </w:r>
      <w:r w:rsidR="00930572">
        <w:rPr>
          <w:color w:val="010101"/>
        </w:rPr>
        <w:t>itaminy (např. </w:t>
      </w:r>
      <w:proofErr w:type="spellStart"/>
      <w:r w:rsidR="00930572">
        <w:rPr>
          <w:color w:val="010101"/>
        </w:rPr>
        <w:t>Milgamma</w:t>
      </w:r>
      <w:proofErr w:type="spellEnd"/>
      <w:r w:rsidR="00930572">
        <w:rPr>
          <w:color w:val="010101"/>
        </w:rPr>
        <w:t>). Použí</w:t>
      </w:r>
      <w:r w:rsidRPr="00930572">
        <w:rPr>
          <w:color w:val="010101"/>
        </w:rPr>
        <w:t>vají se</w:t>
      </w:r>
      <w:r w:rsidRPr="00930572">
        <w:rPr>
          <w:color w:val="010101"/>
        </w:rPr>
        <w:t xml:space="preserve"> většinou jen v krátkodo</w:t>
      </w:r>
      <w:r w:rsidRPr="00930572">
        <w:rPr>
          <w:color w:val="010101"/>
        </w:rPr>
        <w:t xml:space="preserve">bých nárazových dávkách, lépe v parenterální formě a vždy je třeba objektivně posoudit jejich skutečný efekt. </w:t>
      </w:r>
    </w:p>
    <w:p w:rsidR="00930572" w:rsidRDefault="009A1F8E" w:rsidP="00930572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930572">
        <w:rPr>
          <w:color w:val="010101"/>
        </w:rPr>
        <w:t xml:space="preserve">Dlouhodobá medikace </w:t>
      </w:r>
      <w:proofErr w:type="spellStart"/>
      <w:r w:rsidRPr="00930572">
        <w:rPr>
          <w:color w:val="010101"/>
        </w:rPr>
        <w:t>vazoaktivními</w:t>
      </w:r>
      <w:proofErr w:type="spellEnd"/>
      <w:r w:rsidRPr="00930572">
        <w:rPr>
          <w:color w:val="010101"/>
        </w:rPr>
        <w:t xml:space="preserve"> látkami nebo vitaminy nemá opodstatnění. U PN s motorickým deficitem je významná i léčba rehabilita</w:t>
      </w:r>
      <w:r w:rsidRPr="00930572">
        <w:rPr>
          <w:color w:val="010101"/>
        </w:rPr>
        <w:t>ční (včetně případných protetic</w:t>
      </w:r>
      <w:r w:rsidRPr="00930572">
        <w:rPr>
          <w:color w:val="010101"/>
        </w:rPr>
        <w:t xml:space="preserve">kých pomůcek) a je možno využít i léčbu lázeňskou (indikace VI/2). Posudkové hledisko. Akutní PN, zejména syndrom </w:t>
      </w:r>
      <w:proofErr w:type="spellStart"/>
      <w:r w:rsidRPr="00930572">
        <w:rPr>
          <w:color w:val="010101"/>
        </w:rPr>
        <w:t>Guillain-Barré</w:t>
      </w:r>
      <w:proofErr w:type="spellEnd"/>
      <w:r w:rsidRPr="00930572">
        <w:rPr>
          <w:color w:val="010101"/>
        </w:rPr>
        <w:t xml:space="preserve">, obvykle nevedou k trvalé </w:t>
      </w:r>
      <w:proofErr w:type="spellStart"/>
      <w:r w:rsidRPr="00930572">
        <w:rPr>
          <w:color w:val="010101"/>
        </w:rPr>
        <w:t>invalidizaci</w:t>
      </w:r>
      <w:proofErr w:type="spellEnd"/>
      <w:r w:rsidRPr="00930572">
        <w:rPr>
          <w:color w:val="010101"/>
        </w:rPr>
        <w:t xml:space="preserve">. I chronické PN jsou zřídka izolovanou příčinou </w:t>
      </w:r>
      <w:proofErr w:type="spellStart"/>
      <w:r w:rsidRPr="00930572">
        <w:rPr>
          <w:color w:val="010101"/>
        </w:rPr>
        <w:t>invalidizace</w:t>
      </w:r>
      <w:proofErr w:type="spellEnd"/>
      <w:r w:rsidRPr="00930572">
        <w:rPr>
          <w:color w:val="010101"/>
        </w:rPr>
        <w:t>, ale mohou k ní různou měrou přispívat (např. u diabetické PN). Při přetrváv</w:t>
      </w:r>
      <w:r w:rsidR="00930572">
        <w:rPr>
          <w:color w:val="010101"/>
        </w:rPr>
        <w:t>ajícím motorickém deficitu a po</w:t>
      </w:r>
      <w:r w:rsidRPr="00930572">
        <w:rPr>
          <w:color w:val="010101"/>
        </w:rPr>
        <w:t xml:space="preserve">klesu soustavné výdělečné schopnosti se postupuje podle posudkových kritérií ve Sb. zákonů č. 40/2000. </w:t>
      </w:r>
      <w:proofErr w:type="spellStart"/>
      <w:r w:rsidRPr="00930572">
        <w:rPr>
          <w:color w:val="010101"/>
        </w:rPr>
        <w:t>Polyneuropatie</w:t>
      </w:r>
      <w:proofErr w:type="spellEnd"/>
      <w:r w:rsidRPr="00930572">
        <w:rPr>
          <w:color w:val="010101"/>
        </w:rPr>
        <w:t xml:space="preserve"> jsou uvedeny v kap. VI, odd. B, </w:t>
      </w:r>
      <w:proofErr w:type="spellStart"/>
      <w:r w:rsidRPr="00930572">
        <w:rPr>
          <w:color w:val="010101"/>
        </w:rPr>
        <w:t>pol</w:t>
      </w:r>
      <w:proofErr w:type="spellEnd"/>
      <w:r w:rsidRPr="00930572">
        <w:rPr>
          <w:color w:val="010101"/>
        </w:rPr>
        <w:t xml:space="preserve"> 10. </w:t>
      </w:r>
    </w:p>
    <w:p w:rsidR="00930572" w:rsidRDefault="00930572" w:rsidP="00930572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930572" w:rsidRPr="00B4134D" w:rsidRDefault="009A1F8E" w:rsidP="00930572">
      <w:pPr>
        <w:pStyle w:val="Normlnweb"/>
        <w:shd w:val="clear" w:color="auto" w:fill="FFFFFF"/>
        <w:spacing w:before="0" w:beforeAutospacing="0" w:after="0"/>
        <w:jc w:val="both"/>
        <w:rPr>
          <w:b/>
          <w:i/>
          <w:color w:val="010101"/>
          <w:u w:val="single"/>
        </w:rPr>
      </w:pPr>
      <w:r w:rsidRPr="00B4134D">
        <w:rPr>
          <w:b/>
          <w:i/>
          <w:color w:val="010101"/>
          <w:u w:val="single"/>
        </w:rPr>
        <w:t xml:space="preserve">Literatura: </w:t>
      </w:r>
    </w:p>
    <w:p w:rsidR="00930572" w:rsidRDefault="009A1F8E" w:rsidP="00930572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930572">
        <w:rPr>
          <w:color w:val="010101"/>
        </w:rPr>
        <w:t>Ambler</w:t>
      </w:r>
      <w:proofErr w:type="spellEnd"/>
      <w:r w:rsidRPr="00930572">
        <w:rPr>
          <w:color w:val="010101"/>
        </w:rPr>
        <w:t xml:space="preserve"> Z. Neuropatie a myopa</w:t>
      </w:r>
      <w:r w:rsidR="00930572">
        <w:rPr>
          <w:color w:val="010101"/>
        </w:rPr>
        <w:t>tie. Triton, Praha, 1999:211 </w:t>
      </w:r>
    </w:p>
    <w:p w:rsidR="00930572" w:rsidRDefault="009A1F8E" w:rsidP="00930572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930572">
        <w:rPr>
          <w:color w:val="010101"/>
        </w:rPr>
        <w:t>Ambler</w:t>
      </w:r>
      <w:proofErr w:type="spellEnd"/>
      <w:r w:rsidRPr="00930572">
        <w:rPr>
          <w:color w:val="010101"/>
        </w:rPr>
        <w:t xml:space="preserve"> Z. Neuropatická bolest a současné možnosti farmakologické</w:t>
      </w:r>
      <w:r w:rsidR="00930572">
        <w:rPr>
          <w:color w:val="010101"/>
        </w:rPr>
        <w:t xml:space="preserve"> léčby. Bolest 3; 2000:17-21 </w:t>
      </w:r>
    </w:p>
    <w:p w:rsidR="00930572" w:rsidRDefault="009A1F8E" w:rsidP="00930572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930572">
        <w:rPr>
          <w:color w:val="010101"/>
        </w:rPr>
        <w:t>Ambler</w:t>
      </w:r>
      <w:proofErr w:type="spellEnd"/>
      <w:r w:rsidRPr="00930572">
        <w:rPr>
          <w:color w:val="010101"/>
        </w:rPr>
        <w:t xml:space="preserve"> Z. Léčba </w:t>
      </w:r>
      <w:proofErr w:type="spellStart"/>
      <w:r w:rsidRPr="00930572">
        <w:rPr>
          <w:color w:val="010101"/>
        </w:rPr>
        <w:t>polyneuropatií</w:t>
      </w:r>
      <w:proofErr w:type="spellEnd"/>
      <w:r w:rsidRPr="00930572">
        <w:rPr>
          <w:color w:val="010101"/>
        </w:rPr>
        <w:t>. Farmakoterapeutické inform</w:t>
      </w:r>
      <w:r w:rsidR="00930572">
        <w:rPr>
          <w:color w:val="010101"/>
        </w:rPr>
        <w:t>ace, 1997;10:1-3 </w:t>
      </w:r>
    </w:p>
    <w:p w:rsidR="00930572" w:rsidRDefault="009A1F8E" w:rsidP="00930572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930572">
        <w:rPr>
          <w:color w:val="010101"/>
        </w:rPr>
        <w:t xml:space="preserve"> </w:t>
      </w:r>
      <w:proofErr w:type="spellStart"/>
      <w:r w:rsidRPr="00930572">
        <w:rPr>
          <w:color w:val="010101"/>
        </w:rPr>
        <w:t>Barohn</w:t>
      </w:r>
      <w:proofErr w:type="spellEnd"/>
      <w:r w:rsidRPr="00930572">
        <w:rPr>
          <w:color w:val="010101"/>
        </w:rPr>
        <w:t xml:space="preserve"> RJ. </w:t>
      </w:r>
      <w:proofErr w:type="spellStart"/>
      <w:r w:rsidRPr="00930572">
        <w:rPr>
          <w:color w:val="010101"/>
        </w:rPr>
        <w:t>Approach</w:t>
      </w:r>
      <w:proofErr w:type="spellEnd"/>
      <w:r w:rsidRPr="00930572">
        <w:rPr>
          <w:color w:val="010101"/>
        </w:rPr>
        <w:t xml:space="preserve"> to </w:t>
      </w:r>
      <w:proofErr w:type="spellStart"/>
      <w:r w:rsidRPr="00930572">
        <w:rPr>
          <w:color w:val="010101"/>
        </w:rPr>
        <w:t>peripheral</w:t>
      </w:r>
      <w:proofErr w:type="spellEnd"/>
      <w:r w:rsidRPr="00930572">
        <w:rPr>
          <w:color w:val="010101"/>
        </w:rPr>
        <w:t xml:space="preserve"> </w:t>
      </w:r>
      <w:proofErr w:type="spellStart"/>
      <w:r w:rsidRPr="00930572">
        <w:rPr>
          <w:color w:val="010101"/>
        </w:rPr>
        <w:t>neuropathy</w:t>
      </w:r>
      <w:proofErr w:type="spellEnd"/>
      <w:r w:rsidRPr="00930572">
        <w:rPr>
          <w:color w:val="010101"/>
        </w:rPr>
        <w:t xml:space="preserve"> and </w:t>
      </w:r>
      <w:proofErr w:type="spellStart"/>
      <w:r w:rsidRPr="00930572">
        <w:rPr>
          <w:color w:val="010101"/>
        </w:rPr>
        <w:t>neuronopathy</w:t>
      </w:r>
      <w:proofErr w:type="spellEnd"/>
      <w:r w:rsidRPr="00930572">
        <w:rPr>
          <w:color w:val="010101"/>
        </w:rPr>
        <w:t xml:space="preserve">. Sem </w:t>
      </w:r>
      <w:proofErr w:type="spellStart"/>
      <w:r w:rsidRPr="00930572">
        <w:rPr>
          <w:color w:val="010101"/>
        </w:rPr>
        <w:t>Neurol</w:t>
      </w:r>
      <w:proofErr w:type="spellEnd"/>
      <w:r w:rsidRPr="00930572">
        <w:rPr>
          <w:color w:val="010101"/>
        </w:rPr>
        <w:t xml:space="preserve"> 1998;18:7-18 </w:t>
      </w:r>
    </w:p>
    <w:p w:rsidR="00930572" w:rsidRDefault="00930572" w:rsidP="00930572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B4134D" w:rsidRDefault="009A1F8E" w:rsidP="00930572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B4134D">
        <w:rPr>
          <w:b/>
          <w:i/>
          <w:color w:val="010101"/>
          <w:u w:val="single"/>
        </w:rPr>
        <w:t>Tab. 1</w:t>
      </w:r>
      <w:r w:rsidRPr="00930572">
        <w:rPr>
          <w:color w:val="010101"/>
        </w:rPr>
        <w:t>. Doporučené vyšetření u </w:t>
      </w:r>
      <w:proofErr w:type="spellStart"/>
      <w:r w:rsidRPr="00930572">
        <w:rPr>
          <w:color w:val="010101"/>
        </w:rPr>
        <w:t>polyneuropatií</w:t>
      </w:r>
      <w:proofErr w:type="spellEnd"/>
      <w:r w:rsidRPr="00930572">
        <w:rPr>
          <w:color w:val="010101"/>
        </w:rPr>
        <w:t xml:space="preserve"> </w:t>
      </w:r>
    </w:p>
    <w:p w:rsidR="00B4134D" w:rsidRDefault="009A1F8E" w:rsidP="00930572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930572">
        <w:rPr>
          <w:color w:val="010101"/>
        </w:rPr>
        <w:t>KREV</w:t>
      </w:r>
      <w:r w:rsidR="00B4134D">
        <w:rPr>
          <w:color w:val="010101"/>
        </w:rPr>
        <w:t>:</w:t>
      </w:r>
    </w:p>
    <w:p w:rsidR="00B4134D" w:rsidRDefault="009A1F8E" w:rsidP="00B4134D">
      <w:pPr>
        <w:pStyle w:val="Normlnweb"/>
        <w:shd w:val="clear" w:color="auto" w:fill="FFFFFF"/>
        <w:spacing w:before="0" w:beforeAutospacing="0" w:after="0"/>
        <w:ind w:left="708"/>
        <w:jc w:val="both"/>
        <w:rPr>
          <w:color w:val="010101"/>
        </w:rPr>
      </w:pPr>
      <w:r w:rsidRPr="00930572">
        <w:rPr>
          <w:color w:val="010101"/>
        </w:rPr>
        <w:t>1. sled: FW, kompletní KO, urea, kreatinin, cholesterol,</w:t>
      </w:r>
      <w:r w:rsidR="00930572" w:rsidRPr="00930572">
        <w:rPr>
          <w:color w:val="010101"/>
        </w:rPr>
        <w:t xml:space="preserve"> jaterní testy včetně GMT, alka</w:t>
      </w:r>
      <w:r w:rsidRPr="00930572">
        <w:rPr>
          <w:color w:val="010101"/>
        </w:rPr>
        <w:t xml:space="preserve">lická fosfatáza, glykémie, orální </w:t>
      </w:r>
      <w:proofErr w:type="spellStart"/>
      <w:r w:rsidRPr="00930572">
        <w:rPr>
          <w:color w:val="010101"/>
        </w:rPr>
        <w:t>glukosový</w:t>
      </w:r>
      <w:proofErr w:type="spellEnd"/>
      <w:r w:rsidRPr="00930572">
        <w:rPr>
          <w:color w:val="010101"/>
        </w:rPr>
        <w:t xml:space="preserve"> toleranční</w:t>
      </w:r>
      <w:r w:rsidR="00B4134D">
        <w:rPr>
          <w:color w:val="010101"/>
        </w:rPr>
        <w:t xml:space="preserve"> test (</w:t>
      </w:r>
      <w:proofErr w:type="spellStart"/>
      <w:r w:rsidR="00B4134D">
        <w:rPr>
          <w:color w:val="010101"/>
        </w:rPr>
        <w:t>oGGT</w:t>
      </w:r>
      <w:proofErr w:type="spellEnd"/>
      <w:r w:rsidR="00B4134D">
        <w:rPr>
          <w:color w:val="010101"/>
        </w:rPr>
        <w:t>), bílkovina v séru</w:t>
      </w:r>
    </w:p>
    <w:p w:rsidR="00B4134D" w:rsidRDefault="009A1F8E" w:rsidP="00B4134D">
      <w:pPr>
        <w:pStyle w:val="Normlnweb"/>
        <w:shd w:val="clear" w:color="auto" w:fill="FFFFFF"/>
        <w:spacing w:before="0" w:beforeAutospacing="0" w:after="0"/>
        <w:ind w:left="708"/>
        <w:jc w:val="both"/>
        <w:rPr>
          <w:color w:val="010101"/>
        </w:rPr>
      </w:pPr>
      <w:r w:rsidRPr="00930572">
        <w:rPr>
          <w:color w:val="010101"/>
        </w:rPr>
        <w:t xml:space="preserve">2. sled: elektroforéza bílkovin, imunoelektroforéza, </w:t>
      </w:r>
      <w:proofErr w:type="spellStart"/>
      <w:r w:rsidRPr="00930572">
        <w:rPr>
          <w:color w:val="010101"/>
        </w:rPr>
        <w:t>imunofixace</w:t>
      </w:r>
      <w:proofErr w:type="spellEnd"/>
      <w:r w:rsidRPr="00930572">
        <w:rPr>
          <w:color w:val="010101"/>
        </w:rPr>
        <w:t xml:space="preserve">, kvantitativně </w:t>
      </w:r>
      <w:proofErr w:type="spellStart"/>
      <w:r w:rsidRPr="00930572">
        <w:rPr>
          <w:color w:val="010101"/>
        </w:rPr>
        <w:t>imunoglobu¬liny</w:t>
      </w:r>
      <w:proofErr w:type="spellEnd"/>
      <w:r w:rsidRPr="00930572">
        <w:rPr>
          <w:color w:val="010101"/>
        </w:rPr>
        <w:t xml:space="preserve">, </w:t>
      </w:r>
      <w:proofErr w:type="spellStart"/>
      <w:r w:rsidRPr="00930572">
        <w:rPr>
          <w:color w:val="010101"/>
        </w:rPr>
        <w:t>kryoglobuliny</w:t>
      </w:r>
      <w:proofErr w:type="spellEnd"/>
      <w:r w:rsidRPr="00930572">
        <w:rPr>
          <w:color w:val="010101"/>
        </w:rPr>
        <w:t xml:space="preserve">, sérová hladina B12, </w:t>
      </w:r>
      <w:proofErr w:type="spellStart"/>
      <w:r w:rsidRPr="00930572">
        <w:rPr>
          <w:color w:val="010101"/>
        </w:rPr>
        <w:t>antinukleární</w:t>
      </w:r>
      <w:proofErr w:type="spellEnd"/>
      <w:r w:rsidR="00B4134D">
        <w:rPr>
          <w:color w:val="010101"/>
        </w:rPr>
        <w:t xml:space="preserve"> faktor, event. anti DNA, revma</w:t>
      </w:r>
      <w:r w:rsidRPr="00930572">
        <w:rPr>
          <w:color w:val="010101"/>
        </w:rPr>
        <w:t xml:space="preserve">tický faktor, </w:t>
      </w:r>
      <w:proofErr w:type="spellStart"/>
      <w:r w:rsidRPr="00930572">
        <w:rPr>
          <w:color w:val="010101"/>
        </w:rPr>
        <w:t>serologie</w:t>
      </w:r>
      <w:proofErr w:type="spellEnd"/>
      <w:r w:rsidRPr="00930572">
        <w:rPr>
          <w:color w:val="010101"/>
        </w:rPr>
        <w:t xml:space="preserve"> na </w:t>
      </w:r>
      <w:proofErr w:type="spellStart"/>
      <w:r w:rsidRPr="00930572">
        <w:rPr>
          <w:color w:val="010101"/>
        </w:rPr>
        <w:t>Lymeskou</w:t>
      </w:r>
      <w:proofErr w:type="spellEnd"/>
      <w:r w:rsidRPr="00930572">
        <w:rPr>
          <w:color w:val="010101"/>
        </w:rPr>
        <w:t xml:space="preserve"> boreliózu, kompletně lipidy, event. toxikologie (plazmatické olovo aj.), funkce štítné žlázy, </w:t>
      </w:r>
      <w:proofErr w:type="spellStart"/>
      <w:r w:rsidRPr="00930572">
        <w:rPr>
          <w:color w:val="010101"/>
        </w:rPr>
        <w:t>neuronální</w:t>
      </w:r>
      <w:proofErr w:type="spellEnd"/>
      <w:r w:rsidRPr="00930572">
        <w:rPr>
          <w:color w:val="010101"/>
        </w:rPr>
        <w:t xml:space="preserve"> </w:t>
      </w:r>
      <w:proofErr w:type="spellStart"/>
      <w:r w:rsidRPr="00930572">
        <w:rPr>
          <w:color w:val="010101"/>
        </w:rPr>
        <w:t>paraneoplastické</w:t>
      </w:r>
      <w:proofErr w:type="spellEnd"/>
      <w:r w:rsidRPr="00930572">
        <w:rPr>
          <w:color w:val="010101"/>
        </w:rPr>
        <w:t xml:space="preserve"> autoprotilátky </w:t>
      </w:r>
    </w:p>
    <w:p w:rsidR="00B4134D" w:rsidRDefault="00B4134D" w:rsidP="00B4134D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>
        <w:rPr>
          <w:color w:val="010101"/>
        </w:rPr>
        <w:t>MOČ:</w:t>
      </w:r>
    </w:p>
    <w:p w:rsidR="00B4134D" w:rsidRDefault="009A1F8E" w:rsidP="00B4134D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930572">
        <w:rPr>
          <w:color w:val="010101"/>
        </w:rPr>
        <w:t>1. sled: g</w:t>
      </w:r>
      <w:r w:rsidR="00B4134D">
        <w:rPr>
          <w:color w:val="010101"/>
        </w:rPr>
        <w:t>lukóza, bílkovina 2. porfyriny</w:t>
      </w:r>
    </w:p>
    <w:p w:rsidR="00B4134D" w:rsidRDefault="009A1F8E" w:rsidP="00B4134D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930572">
        <w:rPr>
          <w:color w:val="010101"/>
        </w:rPr>
        <w:t>DALA (delta-</w:t>
      </w:r>
      <w:proofErr w:type="spellStart"/>
      <w:r w:rsidRPr="00930572">
        <w:rPr>
          <w:color w:val="010101"/>
        </w:rPr>
        <w:t>aminolevulová</w:t>
      </w:r>
      <w:proofErr w:type="spellEnd"/>
      <w:r w:rsidRPr="00930572">
        <w:rPr>
          <w:color w:val="010101"/>
        </w:rPr>
        <w:t xml:space="preserve"> </w:t>
      </w:r>
      <w:proofErr w:type="spellStart"/>
      <w:r w:rsidRPr="00930572">
        <w:rPr>
          <w:color w:val="010101"/>
        </w:rPr>
        <w:t>kys</w:t>
      </w:r>
      <w:proofErr w:type="spellEnd"/>
      <w:r w:rsidRPr="00930572">
        <w:rPr>
          <w:color w:val="010101"/>
        </w:rPr>
        <w:t xml:space="preserve">.) </w:t>
      </w:r>
    </w:p>
    <w:p w:rsidR="00B4134D" w:rsidRDefault="009A1F8E" w:rsidP="00B4134D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930572">
        <w:rPr>
          <w:color w:val="010101"/>
        </w:rPr>
        <w:t>RTG PLIC další cílená vyšetření u </w:t>
      </w:r>
      <w:proofErr w:type="spellStart"/>
      <w:r w:rsidRPr="00930572">
        <w:rPr>
          <w:color w:val="010101"/>
        </w:rPr>
        <w:t>susp</w:t>
      </w:r>
      <w:proofErr w:type="spellEnd"/>
      <w:r w:rsidRPr="00930572">
        <w:rPr>
          <w:color w:val="010101"/>
        </w:rPr>
        <w:t xml:space="preserve">. </w:t>
      </w:r>
      <w:proofErr w:type="spellStart"/>
      <w:r w:rsidRPr="00930572">
        <w:rPr>
          <w:color w:val="010101"/>
        </w:rPr>
        <w:t>paraneoplastické</w:t>
      </w:r>
      <w:proofErr w:type="spellEnd"/>
      <w:r w:rsidRPr="00930572">
        <w:rPr>
          <w:color w:val="010101"/>
        </w:rPr>
        <w:t xml:space="preserve"> etiologie, nádorové </w:t>
      </w:r>
      <w:proofErr w:type="spellStart"/>
      <w:r w:rsidRPr="00930572">
        <w:rPr>
          <w:color w:val="010101"/>
        </w:rPr>
        <w:t>markery</w:t>
      </w:r>
      <w:proofErr w:type="spellEnd"/>
      <w:r w:rsidRPr="00930572">
        <w:rPr>
          <w:color w:val="010101"/>
        </w:rPr>
        <w:t xml:space="preserve"> EMG MOZKOMÍŠNÍ MOK VYŠETŘENÍ RODINNÝCH PŘÍSLUŠNÍKŮ, DNA ANALÝZA NERVOVÁ, PŘÍPADNĚ I SVALOVÁ BIOPSIE </w:t>
      </w:r>
    </w:p>
    <w:p w:rsidR="00B4134D" w:rsidRDefault="00B4134D" w:rsidP="00B4134D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9A1F8E" w:rsidRPr="00930572" w:rsidRDefault="009A1F8E" w:rsidP="00B4134D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930572">
        <w:rPr>
          <w:color w:val="010101"/>
        </w:rPr>
        <w:t xml:space="preserve">Základní algoritmus diagnostiky </w:t>
      </w:r>
      <w:proofErr w:type="spellStart"/>
      <w:r w:rsidRPr="00930572">
        <w:rPr>
          <w:color w:val="010101"/>
        </w:rPr>
        <w:t>polyneuropatií</w:t>
      </w:r>
      <w:proofErr w:type="spellEnd"/>
    </w:p>
    <w:p w:rsidR="00AB6D4E" w:rsidRPr="00142D75" w:rsidRDefault="00AB6D4E" w:rsidP="0014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6D4E" w:rsidRPr="0014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88E"/>
    <w:multiLevelType w:val="hybridMultilevel"/>
    <w:tmpl w:val="0C2E8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96C"/>
    <w:multiLevelType w:val="hybridMultilevel"/>
    <w:tmpl w:val="E1AE4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312F2"/>
    <w:multiLevelType w:val="hybridMultilevel"/>
    <w:tmpl w:val="D24A1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B7CB9"/>
    <w:multiLevelType w:val="hybridMultilevel"/>
    <w:tmpl w:val="46D60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361A1"/>
    <w:multiLevelType w:val="hybridMultilevel"/>
    <w:tmpl w:val="6FC65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603F"/>
    <w:multiLevelType w:val="hybridMultilevel"/>
    <w:tmpl w:val="270AFB84"/>
    <w:lvl w:ilvl="0" w:tplc="ED58E6E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719F5"/>
    <w:multiLevelType w:val="hybridMultilevel"/>
    <w:tmpl w:val="54AA6A8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8E"/>
    <w:rsid w:val="00142D75"/>
    <w:rsid w:val="001C3CF7"/>
    <w:rsid w:val="00774C83"/>
    <w:rsid w:val="007946AE"/>
    <w:rsid w:val="007E05B4"/>
    <w:rsid w:val="00930572"/>
    <w:rsid w:val="009A1F8E"/>
    <w:rsid w:val="009A673E"/>
    <w:rsid w:val="00AB6D4E"/>
    <w:rsid w:val="00B4134D"/>
    <w:rsid w:val="00D55CAE"/>
    <w:rsid w:val="00F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6754C-63E1-4D8C-8757-3B4D7BB1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1F8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00179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3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1776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Kostohlodova Hanna</dc:creator>
  <cp:keywords/>
  <dc:description/>
  <cp:lastModifiedBy>Kostohlodova Hanna</cp:lastModifiedBy>
  <cp:revision>8</cp:revision>
  <dcterms:created xsi:type="dcterms:W3CDTF">2018-01-31T12:14:00Z</dcterms:created>
  <dcterms:modified xsi:type="dcterms:W3CDTF">2018-01-31T12:49:00Z</dcterms:modified>
</cp:coreProperties>
</file>